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AA" w:rsidRPr="0027156E" w:rsidRDefault="000678AA" w:rsidP="000C2BF3">
      <w:pPr>
        <w:rPr>
          <w:szCs w:val="22"/>
        </w:rPr>
      </w:pPr>
    </w:p>
    <w:p w:rsidR="00204E82" w:rsidRPr="00B22E73" w:rsidRDefault="001D6CC0" w:rsidP="000678AA">
      <w:pPr>
        <w:rPr>
          <w:rFonts w:cs="Arial"/>
          <w:szCs w:val="22"/>
        </w:rPr>
      </w:pPr>
      <w:r>
        <w:rPr>
          <w:noProof/>
          <w:szCs w:val="22"/>
        </w:rPr>
        <w:drawing>
          <wp:anchor distT="0" distB="0" distL="114300" distR="114300" simplePos="0" relativeHeight="251657216" behindDoc="0" locked="0" layoutInCell="1" allowOverlap="1">
            <wp:simplePos x="0" y="0"/>
            <wp:positionH relativeFrom="column">
              <wp:posOffset>37465</wp:posOffset>
            </wp:positionH>
            <wp:positionV relativeFrom="paragraph">
              <wp:posOffset>96520</wp:posOffset>
            </wp:positionV>
            <wp:extent cx="990600" cy="1181100"/>
            <wp:effectExtent l="0" t="0" r="0" b="0"/>
            <wp:wrapNone/>
            <wp:docPr id="22" name="Image 2" descr="Logo_sippe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sippere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C4C" w:rsidRDefault="00B02C4C" w:rsidP="002A7DD9">
      <w:pPr>
        <w:pStyle w:val="Titrededoc"/>
      </w:pPr>
    </w:p>
    <w:p w:rsidR="000678AA" w:rsidRPr="00B22E73" w:rsidRDefault="001D6CC0" w:rsidP="000678AA">
      <w:pPr>
        <w:rPr>
          <w:rFonts w:cs="Arial"/>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1147445</wp:posOffset>
                </wp:positionH>
                <wp:positionV relativeFrom="paragraph">
                  <wp:posOffset>126365</wp:posOffset>
                </wp:positionV>
                <wp:extent cx="3733800" cy="1343660"/>
                <wp:effectExtent l="4445" t="1905" r="5080"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43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906" w:rsidRPr="00A6250E" w:rsidRDefault="00396906" w:rsidP="00396906">
                            <w:pPr>
                              <w:pStyle w:val="Titrededoc"/>
                              <w:rPr>
                                <w:smallCaps/>
                              </w:rPr>
                            </w:pPr>
                            <w:r w:rsidRPr="00A6250E">
                              <w:rPr>
                                <w:smallCaps/>
                              </w:rPr>
                              <w:t>C</w:t>
                            </w:r>
                            <w:r w:rsidR="00BE68BB">
                              <w:rPr>
                                <w:smallCaps/>
                              </w:rPr>
                              <w:t xml:space="preserve">omité du </w:t>
                            </w:r>
                            <w:bookmarkStart w:id="0" w:name="_GoBack"/>
                            <w:bookmarkEnd w:id="0"/>
                            <w:r w:rsidR="00913CB5">
                              <w:rPr>
                                <w:smallCaps/>
                              </w:rPr>
                              <w:t xml:space="preserve">7 </w:t>
                            </w:r>
                            <w:r w:rsidR="00042721">
                              <w:rPr>
                                <w:smallCaps/>
                              </w:rPr>
                              <w:t>décembre</w:t>
                            </w:r>
                            <w:r w:rsidR="00913CB5">
                              <w:rPr>
                                <w:smallCaps/>
                              </w:rPr>
                              <w:t xml:space="preserve"> 2017</w:t>
                            </w:r>
                          </w:p>
                          <w:p w:rsidR="00396906" w:rsidRPr="002A7DD9" w:rsidRDefault="00396906" w:rsidP="00396906">
                            <w:pPr>
                              <w:pStyle w:val="Titrededoc"/>
                            </w:pPr>
                            <w:r w:rsidRPr="002A7DD9">
                              <w:t xml:space="preserve">Affaire </w:t>
                            </w:r>
                            <w:r w:rsidR="001D6CC0">
                              <w:t>3</w:t>
                            </w:r>
                          </w:p>
                          <w:p w:rsidR="00396906" w:rsidRDefault="00913CB5" w:rsidP="00396906">
                            <w:pPr>
                              <w:pStyle w:val="Titrededoc"/>
                            </w:pPr>
                            <w:r w:rsidRPr="00913CB5">
                              <w:t>Budget primitif de l’exercice 201</w:t>
                            </w:r>
                            <w: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0.35pt;margin-top:9.95pt;width:294pt;height:105.8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" stroked="f">
                <v:fill opacity="0"/>
                <v:textbox style="mso-fit-shape-to-text:t">
                  <w:txbxContent>
                    <w:p w:rsidR="00396906" w:rsidRPr="00A6250E" w:rsidRDefault="00396906" w:rsidP="00396906">
                      <w:pPr>
                        <w:pStyle w:val="Titrededoc"/>
                        <w:rPr>
                          <w:smallCaps/>
                        </w:rPr>
                      </w:pPr>
                      <w:r w:rsidRPr="00A6250E">
                        <w:rPr>
                          <w:smallCaps/>
                        </w:rPr>
                        <w:t>C</w:t>
                      </w:r>
                      <w:r w:rsidR="00BE68BB">
                        <w:rPr>
                          <w:smallCaps/>
                        </w:rPr>
                        <w:t xml:space="preserve">omité du </w:t>
                      </w:r>
                      <w:bookmarkStart w:id="1" w:name="_GoBack"/>
                      <w:bookmarkEnd w:id="1"/>
                      <w:r w:rsidR="00913CB5">
                        <w:rPr>
                          <w:smallCaps/>
                        </w:rPr>
                        <w:t xml:space="preserve">7 </w:t>
                      </w:r>
                      <w:r w:rsidR="00042721">
                        <w:rPr>
                          <w:smallCaps/>
                        </w:rPr>
                        <w:t>décembre</w:t>
                      </w:r>
                      <w:r w:rsidR="00913CB5">
                        <w:rPr>
                          <w:smallCaps/>
                        </w:rPr>
                        <w:t xml:space="preserve"> 2017</w:t>
                      </w:r>
                    </w:p>
                    <w:p w:rsidR="00396906" w:rsidRPr="002A7DD9" w:rsidRDefault="00396906" w:rsidP="00396906">
                      <w:pPr>
                        <w:pStyle w:val="Titrededoc"/>
                      </w:pPr>
                      <w:r w:rsidRPr="002A7DD9">
                        <w:t xml:space="preserve">Affaire </w:t>
                      </w:r>
                      <w:r w:rsidR="001D6CC0">
                        <w:t>3</w:t>
                      </w:r>
                    </w:p>
                    <w:p w:rsidR="00396906" w:rsidRDefault="00913CB5" w:rsidP="00396906">
                      <w:pPr>
                        <w:pStyle w:val="Titrededoc"/>
                      </w:pPr>
                      <w:r w:rsidRPr="00913CB5">
                        <w:t>Budget primitif de l’exercice 201</w:t>
                      </w:r>
                      <w:r>
                        <w:t>8</w:t>
                      </w:r>
                    </w:p>
                  </w:txbxContent>
                </v:textbox>
              </v:shape>
            </w:pict>
          </mc:Fallback>
        </mc:AlternateContent>
      </w:r>
    </w:p>
    <w:p w:rsidR="000678AA" w:rsidRDefault="000678AA" w:rsidP="000678AA">
      <w:pPr>
        <w:rPr>
          <w:rFonts w:cs="Arial"/>
          <w:szCs w:val="22"/>
        </w:rPr>
      </w:pPr>
    </w:p>
    <w:p w:rsidR="00396906" w:rsidRDefault="00396906" w:rsidP="000678AA">
      <w:pPr>
        <w:rPr>
          <w:rFonts w:cs="Arial"/>
          <w:szCs w:val="22"/>
        </w:rPr>
      </w:pPr>
    </w:p>
    <w:p w:rsidR="00396906" w:rsidRDefault="00396906" w:rsidP="000678AA">
      <w:pPr>
        <w:rPr>
          <w:rFonts w:cs="Arial"/>
          <w:szCs w:val="22"/>
        </w:rPr>
      </w:pPr>
    </w:p>
    <w:p w:rsidR="00396906" w:rsidRDefault="00396906" w:rsidP="000678AA">
      <w:pPr>
        <w:rPr>
          <w:rFonts w:cs="Arial"/>
          <w:szCs w:val="22"/>
        </w:rPr>
      </w:pPr>
    </w:p>
    <w:p w:rsidR="00396906" w:rsidRDefault="00396906" w:rsidP="000678AA">
      <w:pPr>
        <w:rPr>
          <w:rFonts w:cs="Arial"/>
          <w:szCs w:val="22"/>
        </w:rPr>
      </w:pPr>
    </w:p>
    <w:p w:rsidR="00396906" w:rsidRDefault="00396906" w:rsidP="000678AA">
      <w:pPr>
        <w:rPr>
          <w:rFonts w:cs="Arial"/>
          <w:szCs w:val="22"/>
        </w:rPr>
      </w:pPr>
    </w:p>
    <w:p w:rsidR="00396906" w:rsidRPr="00B22E73" w:rsidRDefault="00396906" w:rsidP="000678AA">
      <w:pPr>
        <w:rPr>
          <w:rFonts w:cs="Arial"/>
          <w:szCs w:val="22"/>
        </w:rPr>
      </w:pPr>
    </w:p>
    <w:p w:rsidR="00815D24" w:rsidRDefault="00815D24" w:rsidP="000678AA">
      <w:pPr>
        <w:rPr>
          <w:rFonts w:cs="Arial"/>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15D24" w:rsidRPr="004B12D9" w:rsidTr="004B12D9">
        <w:tc>
          <w:tcPr>
            <w:tcW w:w="9210" w:type="dxa"/>
          </w:tcPr>
          <w:p w:rsidR="00815D24" w:rsidRPr="00D4553D" w:rsidRDefault="00913CB5" w:rsidP="00D4553D">
            <w:pPr>
              <w:keepNext/>
              <w:keepLines/>
              <w:suppressAutoHyphens/>
              <w:spacing w:before="120" w:after="120"/>
            </w:pPr>
            <w:r w:rsidRPr="000A664F">
              <w:rPr>
                <w:rFonts w:cs="Arial"/>
                <w:szCs w:val="22"/>
              </w:rPr>
              <w:t xml:space="preserve">Lors de sa séance du </w:t>
            </w:r>
            <w:r>
              <w:rPr>
                <w:rFonts w:cs="Arial"/>
                <w:szCs w:val="22"/>
              </w:rPr>
              <w:t>17</w:t>
            </w:r>
            <w:r w:rsidRPr="000A664F">
              <w:rPr>
                <w:rFonts w:cs="Arial"/>
                <w:szCs w:val="22"/>
              </w:rPr>
              <w:t xml:space="preserve"> </w:t>
            </w:r>
            <w:r>
              <w:rPr>
                <w:rFonts w:cs="Arial"/>
                <w:szCs w:val="22"/>
              </w:rPr>
              <w:t>octobre</w:t>
            </w:r>
            <w:r w:rsidRPr="000A664F">
              <w:rPr>
                <w:rFonts w:cs="Arial"/>
                <w:szCs w:val="22"/>
              </w:rPr>
              <w:t xml:space="preserve"> dernier, </w:t>
            </w:r>
            <w:r>
              <w:t>l</w:t>
            </w:r>
            <w:r w:rsidRPr="00076A29">
              <w:t>e</w:t>
            </w:r>
            <w:r>
              <w:t xml:space="preserve"> comité syndical a donné acte au</w:t>
            </w:r>
            <w:r w:rsidRPr="00076A29">
              <w:t xml:space="preserve"> Président </w:t>
            </w:r>
            <w:r w:rsidR="005E732E">
              <w:t>du rapport</w:t>
            </w:r>
            <w:r w:rsidRPr="00076A29">
              <w:t xml:space="preserve"> </w:t>
            </w:r>
            <w:r w:rsidR="005E732E">
              <w:t>d’</w:t>
            </w:r>
            <w:r w:rsidRPr="00076A29">
              <w:t>orientation</w:t>
            </w:r>
            <w:r>
              <w:t>s budgétaires de l’exercice 2018</w:t>
            </w:r>
            <w:r w:rsidR="005E732E">
              <w:t>, dans lequel</w:t>
            </w:r>
            <w:r>
              <w:t xml:space="preserve"> s’inscrivent les </w:t>
            </w:r>
            <w:r>
              <w:rPr>
                <w:rFonts w:cs="Arial"/>
                <w:szCs w:val="22"/>
              </w:rPr>
              <w:t>prévisions de crédits budgétaires</w:t>
            </w:r>
            <w:r>
              <w:t xml:space="preserve"> présentées au </w:t>
            </w:r>
            <w:r>
              <w:rPr>
                <w:rFonts w:cs="Arial"/>
                <w:szCs w:val="22"/>
              </w:rPr>
              <w:t xml:space="preserve">budget primitif </w:t>
            </w:r>
            <w:r w:rsidRPr="000A664F">
              <w:rPr>
                <w:rFonts w:cs="Arial"/>
                <w:szCs w:val="22"/>
              </w:rPr>
              <w:t>201</w:t>
            </w:r>
            <w:r>
              <w:rPr>
                <w:rFonts w:cs="Arial"/>
                <w:szCs w:val="22"/>
              </w:rPr>
              <w:t>8</w:t>
            </w:r>
            <w:r w:rsidR="00BA40E8">
              <w:rPr>
                <w:rFonts w:cs="Arial"/>
                <w:szCs w:val="22"/>
              </w:rPr>
              <w:t>.</w:t>
            </w:r>
            <w:r w:rsidR="00D4553D">
              <w:rPr>
                <w:rFonts w:cs="Arial"/>
                <w:szCs w:val="22"/>
              </w:rPr>
              <w:t xml:space="preserve"> C</w:t>
            </w:r>
            <w:r w:rsidR="00BA40E8">
              <w:rPr>
                <w:rFonts w:cs="Arial"/>
                <w:szCs w:val="22"/>
              </w:rPr>
              <w:t>e budget primitif</w:t>
            </w:r>
            <w:r>
              <w:rPr>
                <w:rFonts w:cs="Arial"/>
                <w:szCs w:val="22"/>
              </w:rPr>
              <w:t xml:space="preserve"> </w:t>
            </w:r>
            <w:r w:rsidRPr="00704B96">
              <w:t xml:space="preserve">s’équilibre </w:t>
            </w:r>
            <w:r>
              <w:t xml:space="preserve">en </w:t>
            </w:r>
            <w:r w:rsidRPr="00704B96">
              <w:t xml:space="preserve">dépenses et en recettes à hauteur de </w:t>
            </w:r>
            <w:r>
              <w:t xml:space="preserve">110 527 200 </w:t>
            </w:r>
            <w:r w:rsidRPr="00704B96">
              <w:t xml:space="preserve">€ </w:t>
            </w:r>
            <w:r>
              <w:t xml:space="preserve">pour la section de fonctionnement </w:t>
            </w:r>
            <w:r w:rsidRPr="00704B96">
              <w:t xml:space="preserve">et </w:t>
            </w:r>
            <w:r>
              <w:t>46 386 100</w:t>
            </w:r>
            <w:r w:rsidRPr="00704B96">
              <w:t xml:space="preserve"> </w:t>
            </w:r>
            <w:r>
              <w:t>€ pour la section d’investissement.</w:t>
            </w:r>
          </w:p>
        </w:tc>
      </w:tr>
    </w:tbl>
    <w:p w:rsidR="00815D24" w:rsidRDefault="00815D24" w:rsidP="000678AA">
      <w:pPr>
        <w:rPr>
          <w:rFonts w:cs="Arial"/>
          <w:szCs w:val="22"/>
        </w:rPr>
      </w:pPr>
    </w:p>
    <w:p w:rsidR="00815D24" w:rsidRPr="00B22E73" w:rsidRDefault="00815D24" w:rsidP="000678AA">
      <w:pPr>
        <w:rPr>
          <w:rFonts w:cs="Arial"/>
          <w:szCs w:val="22"/>
        </w:rPr>
      </w:pPr>
    </w:p>
    <w:p w:rsidR="00BE1983" w:rsidRPr="00BE1983" w:rsidRDefault="00042721" w:rsidP="00BE1983">
      <w:pPr>
        <w:keepNext/>
        <w:keepLines/>
        <w:suppressAutoHyphens/>
      </w:pPr>
      <w:r>
        <w:t>Conformément aux orientations budgétaires de l’exercice 2018 votées par le comité, l</w:t>
      </w:r>
      <w:r w:rsidR="00BE1983" w:rsidRPr="00BE1983">
        <w:t>e bu</w:t>
      </w:r>
      <w:r w:rsidR="001B2248">
        <w:t>dget primitif 2018</w:t>
      </w:r>
      <w:r w:rsidR="00BE1983" w:rsidRPr="00BE1983">
        <w:t xml:space="preserve"> s’équilibre en dépenses et en recettes à hauteur de </w:t>
      </w:r>
      <w:r w:rsidR="001B2248">
        <w:t xml:space="preserve">110 527 200 </w:t>
      </w:r>
      <w:r w:rsidR="001B2248" w:rsidRPr="00704B96">
        <w:t xml:space="preserve">€ </w:t>
      </w:r>
      <w:r w:rsidR="00BE1983" w:rsidRPr="00BE1983">
        <w:t xml:space="preserve">pour la section de fonctionnement et </w:t>
      </w:r>
      <w:r w:rsidR="006B1B31">
        <w:t>46 386 100</w:t>
      </w:r>
      <w:r w:rsidR="006B1B31" w:rsidRPr="00704B96">
        <w:t xml:space="preserve"> </w:t>
      </w:r>
      <w:r w:rsidR="006B1B31">
        <w:t xml:space="preserve">€ </w:t>
      </w:r>
      <w:r w:rsidR="00BE1983" w:rsidRPr="00BE1983">
        <w:t>pour la section d’investissement.</w:t>
      </w:r>
    </w:p>
    <w:p w:rsidR="00BE1983" w:rsidRPr="00BE1983" w:rsidRDefault="00BE1983" w:rsidP="00BE1983">
      <w:pPr>
        <w:keepNext/>
        <w:keepLines/>
        <w:suppressAutoHyphens/>
      </w:pPr>
    </w:p>
    <w:p w:rsidR="00BE1983" w:rsidRPr="00BE1983" w:rsidRDefault="00BE1983" w:rsidP="00BE1983">
      <w:pPr>
        <w:rPr>
          <w:sz w:val="10"/>
          <w:szCs w:val="10"/>
        </w:rPr>
      </w:pPr>
    </w:p>
    <w:p w:rsidR="00BE1983" w:rsidRPr="00BE1983" w:rsidRDefault="00BE1983" w:rsidP="00BE1983">
      <w:pPr>
        <w:keepNext/>
        <w:tabs>
          <w:tab w:val="num" w:pos="360"/>
        </w:tabs>
        <w:spacing w:before="240" w:after="240"/>
        <w:outlineLvl w:val="0"/>
        <w:rPr>
          <w:rFonts w:cs="Arial"/>
          <w:b/>
          <w:szCs w:val="22"/>
          <w:u w:val="single"/>
        </w:rPr>
      </w:pPr>
      <w:r w:rsidRPr="00BE1983">
        <w:rPr>
          <w:rFonts w:cs="Arial"/>
          <w:b/>
          <w:szCs w:val="22"/>
          <w:u w:val="single"/>
        </w:rPr>
        <w:t>1- Section d’investissement</w:t>
      </w:r>
    </w:p>
    <w:p w:rsidR="00BE1983" w:rsidRPr="00BE1983" w:rsidRDefault="00BE1983" w:rsidP="00BE1983">
      <w:pPr>
        <w:keepNext/>
        <w:numPr>
          <w:ilvl w:val="1"/>
          <w:numId w:val="0"/>
        </w:numPr>
        <w:tabs>
          <w:tab w:val="num" w:pos="360"/>
          <w:tab w:val="left" w:pos="5580"/>
        </w:tabs>
        <w:spacing w:before="120" w:after="120"/>
        <w:outlineLvl w:val="1"/>
        <w:rPr>
          <w:rFonts w:cs="Arial"/>
          <w:b/>
          <w:bCs/>
          <w:i/>
          <w:iCs/>
          <w:szCs w:val="22"/>
        </w:rPr>
      </w:pPr>
      <w:r w:rsidRPr="00BE1983">
        <w:rPr>
          <w:rFonts w:cs="Arial"/>
          <w:b/>
          <w:bCs/>
          <w:i/>
          <w:iCs/>
          <w:szCs w:val="22"/>
        </w:rPr>
        <w:t xml:space="preserve">1.1 Les recettes de la section d’investissement : </w:t>
      </w:r>
      <w:r w:rsidRPr="00BE1983">
        <w:rPr>
          <w:rFonts w:cs="Arial"/>
          <w:b/>
          <w:bCs/>
          <w:i/>
          <w:iCs/>
          <w:szCs w:val="22"/>
        </w:rPr>
        <w:tab/>
        <w:t xml:space="preserve"> </w:t>
      </w:r>
      <w:r w:rsidRPr="00BE1983">
        <w:rPr>
          <w:rFonts w:cs="Arial"/>
          <w:b/>
          <w:bCs/>
          <w:i/>
          <w:iCs/>
          <w:szCs w:val="22"/>
        </w:rPr>
        <w:tab/>
      </w:r>
      <w:r w:rsidRPr="00BE1983">
        <w:rPr>
          <w:rFonts w:cs="Arial"/>
          <w:b/>
          <w:bCs/>
          <w:i/>
          <w:iCs/>
          <w:szCs w:val="22"/>
        </w:rPr>
        <w:tab/>
        <w:t xml:space="preserve">                     </w:t>
      </w:r>
      <w:r w:rsidR="00B27F6A">
        <w:rPr>
          <w:rFonts w:cs="Arial"/>
          <w:b/>
          <w:bCs/>
          <w:i/>
          <w:iCs/>
          <w:sz w:val="24"/>
          <w:szCs w:val="24"/>
        </w:rPr>
        <w:t>46</w:t>
      </w:r>
      <w:r w:rsidRPr="00BE1983">
        <w:rPr>
          <w:rFonts w:cs="Arial"/>
          <w:b/>
          <w:bCs/>
          <w:i/>
          <w:iCs/>
          <w:sz w:val="24"/>
          <w:szCs w:val="24"/>
        </w:rPr>
        <w:t> </w:t>
      </w:r>
      <w:r w:rsidR="00B27F6A">
        <w:rPr>
          <w:rFonts w:cs="Arial"/>
          <w:b/>
          <w:bCs/>
          <w:i/>
          <w:iCs/>
          <w:sz w:val="24"/>
          <w:szCs w:val="24"/>
        </w:rPr>
        <w:t>386 10</w:t>
      </w:r>
      <w:r w:rsidRPr="00BE1983">
        <w:rPr>
          <w:rFonts w:cs="Arial"/>
          <w:b/>
          <w:bCs/>
          <w:i/>
          <w:iCs/>
          <w:sz w:val="24"/>
          <w:szCs w:val="24"/>
        </w:rPr>
        <w:t>0</w:t>
      </w:r>
      <w:r w:rsidRPr="00BE1983">
        <w:rPr>
          <w:rFonts w:cs="Arial"/>
          <w:b/>
          <w:bCs/>
          <w:i/>
          <w:iCs/>
          <w:sz w:val="28"/>
          <w:szCs w:val="28"/>
        </w:rPr>
        <w:t xml:space="preserve"> </w:t>
      </w:r>
      <w:r w:rsidRPr="00BE1983">
        <w:rPr>
          <w:rFonts w:cs="Arial"/>
          <w:b/>
          <w:bCs/>
          <w:i/>
          <w:iCs/>
          <w:szCs w:val="22"/>
        </w:rPr>
        <w:t>€</w:t>
      </w:r>
    </w:p>
    <w:p w:rsidR="00BE1983" w:rsidRPr="00BE1983" w:rsidRDefault="00BE1983" w:rsidP="00BE1983">
      <w:pPr>
        <w:rPr>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9"/>
        <w:gridCol w:w="2461"/>
      </w:tblGrid>
      <w:tr w:rsidR="00BE1983" w:rsidRPr="00BE1983" w:rsidTr="00186BFF">
        <w:tc>
          <w:tcPr>
            <w:tcW w:w="6599" w:type="dxa"/>
            <w:shd w:val="clear" w:color="auto" w:fill="auto"/>
          </w:tcPr>
          <w:p w:rsidR="00BE1983" w:rsidRPr="00BE1983" w:rsidRDefault="00BE1983" w:rsidP="00BE1983">
            <w:pPr>
              <w:spacing w:afterLines="30" w:after="72"/>
              <w:rPr>
                <w:szCs w:val="22"/>
              </w:rPr>
            </w:pPr>
            <w:r w:rsidRPr="00BE1983">
              <w:rPr>
                <w:szCs w:val="22"/>
              </w:rPr>
              <w:t>- Participations publiques prévisionnelles dans le cadre de la compét</w:t>
            </w:r>
            <w:r w:rsidR="002B19B8">
              <w:rPr>
                <w:szCs w:val="22"/>
              </w:rPr>
              <w:t>ence Energies renouvelables du S</w:t>
            </w:r>
            <w:r w:rsidRPr="00BE1983">
              <w:rPr>
                <w:szCs w:val="22"/>
              </w:rPr>
              <w:t>yndicat, à percevoir auprès des collectivités concernant les études de faisabilité de projets sur leur territoire et concernant la réalisation de travaux auprès de financeurs publics d</w:t>
            </w:r>
            <w:r w:rsidR="00614CBB">
              <w:rPr>
                <w:szCs w:val="22"/>
              </w:rPr>
              <w:t>’Ile-de-France tels que l’ADEME et</w:t>
            </w:r>
            <w:r w:rsidRPr="00BE1983">
              <w:rPr>
                <w:szCs w:val="22"/>
              </w:rPr>
              <w:t xml:space="preserve"> la Région principalement dans le</w:t>
            </w:r>
            <w:r w:rsidR="00614CBB">
              <w:rPr>
                <w:szCs w:val="22"/>
              </w:rPr>
              <w:t xml:space="preserve"> cadre des </w:t>
            </w:r>
            <w:r w:rsidRPr="00BE1983">
              <w:rPr>
                <w:szCs w:val="22"/>
              </w:rPr>
              <w:t>activité</w:t>
            </w:r>
            <w:r w:rsidR="00614CBB">
              <w:rPr>
                <w:szCs w:val="22"/>
              </w:rPr>
              <w:t>s</w:t>
            </w:r>
            <w:r w:rsidRPr="00BE1983">
              <w:rPr>
                <w:szCs w:val="22"/>
              </w:rPr>
              <w:t xml:space="preserve"> </w:t>
            </w:r>
            <w:r w:rsidR="00614CBB" w:rsidRPr="00BE1983">
              <w:rPr>
                <w:szCs w:val="22"/>
              </w:rPr>
              <w:t>de géothermie</w:t>
            </w:r>
            <w:r w:rsidR="00614CBB">
              <w:rPr>
                <w:szCs w:val="22"/>
              </w:rPr>
              <w:t xml:space="preserve"> et</w:t>
            </w:r>
            <w:r w:rsidR="00614CBB" w:rsidRPr="00BE1983">
              <w:rPr>
                <w:szCs w:val="22"/>
              </w:rPr>
              <w:t xml:space="preserve"> </w:t>
            </w:r>
            <w:r w:rsidRPr="00BE1983">
              <w:rPr>
                <w:szCs w:val="22"/>
              </w:rPr>
              <w:t>d’installations</w:t>
            </w:r>
            <w:r w:rsidR="00614CBB">
              <w:rPr>
                <w:szCs w:val="22"/>
              </w:rPr>
              <w:t xml:space="preserve"> de centrales photovoltaïques</w:t>
            </w:r>
            <w:r w:rsidR="00187C0B">
              <w:rPr>
                <w:szCs w:val="22"/>
              </w:rPr>
              <w:t>. (</w:t>
            </w:r>
            <w:proofErr w:type="gramStart"/>
            <w:r w:rsidR="00187C0B">
              <w:rPr>
                <w:szCs w:val="22"/>
              </w:rPr>
              <w:t>chapitres</w:t>
            </w:r>
            <w:proofErr w:type="gramEnd"/>
            <w:r w:rsidR="00187C0B">
              <w:rPr>
                <w:szCs w:val="22"/>
              </w:rPr>
              <w:t xml:space="preserve"> 10,13 et 20</w:t>
            </w:r>
            <w:r w:rsidRPr="00BE1983">
              <w:rPr>
                <w:szCs w:val="22"/>
              </w:rPr>
              <w:t>)</w:t>
            </w:r>
          </w:p>
        </w:tc>
        <w:tc>
          <w:tcPr>
            <w:tcW w:w="2461" w:type="dxa"/>
            <w:shd w:val="clear" w:color="auto" w:fill="auto"/>
          </w:tcPr>
          <w:p w:rsidR="00BE1983" w:rsidRPr="00BE1983" w:rsidRDefault="00614CBB" w:rsidP="00BE1983">
            <w:pPr>
              <w:spacing w:afterLines="30" w:after="72"/>
              <w:jc w:val="right"/>
              <w:rPr>
                <w:szCs w:val="22"/>
              </w:rPr>
            </w:pPr>
            <w:r>
              <w:rPr>
                <w:szCs w:val="22"/>
              </w:rPr>
              <w:t xml:space="preserve">2 912 850 </w:t>
            </w:r>
            <w:r w:rsidR="00BE1983" w:rsidRPr="00BE1983">
              <w:rPr>
                <w:szCs w:val="22"/>
              </w:rPr>
              <w:t>€</w:t>
            </w:r>
          </w:p>
        </w:tc>
      </w:tr>
      <w:tr w:rsidR="00BE1983" w:rsidRPr="00BE1983" w:rsidTr="00186BFF">
        <w:tc>
          <w:tcPr>
            <w:tcW w:w="6599" w:type="dxa"/>
            <w:shd w:val="clear" w:color="auto" w:fill="auto"/>
          </w:tcPr>
          <w:p w:rsidR="00BE1983" w:rsidRPr="00BE1983" w:rsidRDefault="00BE1983" w:rsidP="00BE1983">
            <w:pPr>
              <w:spacing w:afterLines="30" w:after="72"/>
              <w:rPr>
                <w:szCs w:val="22"/>
              </w:rPr>
            </w:pPr>
            <w:r w:rsidRPr="00BE1983">
              <w:rPr>
                <w:szCs w:val="22"/>
              </w:rPr>
              <w:t>- Recettes prévisionnelles dans le cadre d</w:t>
            </w:r>
            <w:r w:rsidR="002B19B8">
              <w:rPr>
                <w:szCs w:val="22"/>
              </w:rPr>
              <w:t>e la compétence Electricité du S</w:t>
            </w:r>
            <w:r w:rsidRPr="00BE1983">
              <w:rPr>
                <w:szCs w:val="22"/>
              </w:rPr>
              <w:t>yndicat appelées, d’une part, pour participations des collectivités ayant délégation de maîtrise d’ouvrage pour l’enfouissement du réseau d’électricité, d’autre part, pour récupération de TVA auprès d’ENEDIS sur les études et travaux d’enfouissement du réseau d’électricité et de l’activité de rénovation des colonnes montantes. (</w:t>
            </w:r>
            <w:proofErr w:type="gramStart"/>
            <w:r w:rsidRPr="00BE1983">
              <w:rPr>
                <w:szCs w:val="22"/>
              </w:rPr>
              <w:t>chapitres</w:t>
            </w:r>
            <w:proofErr w:type="gramEnd"/>
            <w:r w:rsidRPr="00BE1983">
              <w:rPr>
                <w:szCs w:val="22"/>
              </w:rPr>
              <w:t xml:space="preserve"> </w:t>
            </w:r>
            <w:r w:rsidR="00DB0490">
              <w:rPr>
                <w:szCs w:val="22"/>
              </w:rPr>
              <w:t xml:space="preserve">10, </w:t>
            </w:r>
            <w:r w:rsidRPr="00BE1983">
              <w:rPr>
                <w:szCs w:val="22"/>
              </w:rPr>
              <w:t>13, 20 et 27)</w:t>
            </w:r>
          </w:p>
        </w:tc>
        <w:tc>
          <w:tcPr>
            <w:tcW w:w="2461" w:type="dxa"/>
            <w:shd w:val="clear" w:color="auto" w:fill="auto"/>
          </w:tcPr>
          <w:p w:rsidR="00BE1983" w:rsidRPr="00192162" w:rsidRDefault="00371A23" w:rsidP="00BE1983">
            <w:pPr>
              <w:tabs>
                <w:tab w:val="right" w:pos="7560"/>
              </w:tabs>
              <w:spacing w:afterLines="30" w:after="72"/>
              <w:jc w:val="right"/>
              <w:rPr>
                <w:szCs w:val="22"/>
              </w:rPr>
            </w:pPr>
            <w:r w:rsidRPr="00192162">
              <w:rPr>
                <w:szCs w:val="22"/>
              </w:rPr>
              <w:t>2 </w:t>
            </w:r>
            <w:r w:rsidR="00186BFF" w:rsidRPr="00192162">
              <w:rPr>
                <w:szCs w:val="22"/>
              </w:rPr>
              <w:t>399</w:t>
            </w:r>
            <w:r w:rsidRPr="00192162">
              <w:rPr>
                <w:szCs w:val="22"/>
              </w:rPr>
              <w:t xml:space="preserve"> 700 </w:t>
            </w:r>
            <w:r w:rsidR="00BE1983" w:rsidRPr="00192162">
              <w:rPr>
                <w:szCs w:val="22"/>
              </w:rPr>
              <w:t>€</w:t>
            </w:r>
          </w:p>
          <w:p w:rsidR="00BE1983" w:rsidRPr="00192162" w:rsidRDefault="00BE1983" w:rsidP="00BE1983">
            <w:pPr>
              <w:spacing w:afterLines="30" w:after="72"/>
              <w:jc w:val="right"/>
              <w:rPr>
                <w:szCs w:val="22"/>
              </w:rPr>
            </w:pPr>
          </w:p>
        </w:tc>
      </w:tr>
      <w:tr w:rsidR="00BE1983" w:rsidRPr="00BE1983" w:rsidTr="00186BFF">
        <w:tc>
          <w:tcPr>
            <w:tcW w:w="6599" w:type="dxa"/>
          </w:tcPr>
          <w:p w:rsidR="00BE1983" w:rsidRPr="00BE1983" w:rsidRDefault="00013AFA" w:rsidP="00BE1983">
            <w:pPr>
              <w:spacing w:afterLines="30" w:after="72"/>
              <w:rPr>
                <w:szCs w:val="22"/>
                <w:highlight w:val="yellow"/>
              </w:rPr>
            </w:pPr>
            <w:r>
              <w:rPr>
                <w:szCs w:val="22"/>
              </w:rPr>
              <w:t xml:space="preserve">- </w:t>
            </w:r>
            <w:r w:rsidR="000977E9">
              <w:rPr>
                <w:szCs w:val="22"/>
              </w:rPr>
              <w:t>Complément pour la p</w:t>
            </w:r>
            <w:r>
              <w:rPr>
                <w:szCs w:val="22"/>
              </w:rPr>
              <w:t>articipation prévisionnelle</w:t>
            </w:r>
            <w:r w:rsidR="00BE1983" w:rsidRPr="00BE1983">
              <w:rPr>
                <w:szCs w:val="22"/>
              </w:rPr>
              <w:t xml:space="preserve"> </w:t>
            </w:r>
            <w:r w:rsidRPr="00BE1983">
              <w:rPr>
                <w:szCs w:val="22"/>
              </w:rPr>
              <w:t xml:space="preserve">de la Communauté d’agglomération Cœur d’Essonne </w:t>
            </w:r>
            <w:r w:rsidR="00BE1983" w:rsidRPr="00BE1983">
              <w:rPr>
                <w:szCs w:val="22"/>
              </w:rPr>
              <w:t>pour l</w:t>
            </w:r>
            <w:r>
              <w:rPr>
                <w:szCs w:val="22"/>
              </w:rPr>
              <w:t xml:space="preserve">’extension </w:t>
            </w:r>
            <w:r w:rsidR="00BE1983" w:rsidRPr="00BE1983">
              <w:rPr>
                <w:szCs w:val="22"/>
              </w:rPr>
              <w:t xml:space="preserve">des réseaux Très Haut Débit </w:t>
            </w:r>
            <w:r>
              <w:rPr>
                <w:szCs w:val="22"/>
              </w:rPr>
              <w:t xml:space="preserve">sur le territoire de la commune de </w:t>
            </w:r>
            <w:proofErr w:type="spellStart"/>
            <w:r>
              <w:rPr>
                <w:szCs w:val="22"/>
              </w:rPr>
              <w:t>Longpont</w:t>
            </w:r>
            <w:proofErr w:type="spellEnd"/>
            <w:r w:rsidR="00C40D06">
              <w:rPr>
                <w:szCs w:val="22"/>
              </w:rPr>
              <w:t>-sur-Orge</w:t>
            </w:r>
            <w:r w:rsidR="006F2E84">
              <w:rPr>
                <w:szCs w:val="22"/>
              </w:rPr>
              <w:t xml:space="preserve"> dans le cadre de la délégation de service public SEQUANTIC</w:t>
            </w:r>
            <w:r>
              <w:rPr>
                <w:szCs w:val="22"/>
              </w:rPr>
              <w:t xml:space="preserve"> (chapitre 13</w:t>
            </w:r>
            <w:r w:rsidR="00BE1983" w:rsidRPr="00BE1983">
              <w:rPr>
                <w:szCs w:val="22"/>
              </w:rPr>
              <w:t xml:space="preserve">) </w:t>
            </w:r>
          </w:p>
        </w:tc>
        <w:tc>
          <w:tcPr>
            <w:tcW w:w="2461" w:type="dxa"/>
          </w:tcPr>
          <w:p w:rsidR="00BE1983" w:rsidRPr="00192162" w:rsidRDefault="00013AFA" w:rsidP="006D7785">
            <w:pPr>
              <w:pStyle w:val="Paragraphedeliste"/>
              <w:numPr>
                <w:ilvl w:val="0"/>
                <w:numId w:val="7"/>
              </w:numPr>
              <w:tabs>
                <w:tab w:val="right" w:pos="2985"/>
              </w:tabs>
              <w:spacing w:afterLines="30" w:after="72"/>
              <w:jc w:val="right"/>
              <w:rPr>
                <w:szCs w:val="22"/>
              </w:rPr>
            </w:pPr>
            <w:r w:rsidRPr="00192162">
              <w:rPr>
                <w:szCs w:val="22"/>
              </w:rPr>
              <w:t xml:space="preserve">000 </w:t>
            </w:r>
            <w:r w:rsidR="00BE1983" w:rsidRPr="00192162">
              <w:rPr>
                <w:szCs w:val="22"/>
              </w:rPr>
              <w:t>€</w:t>
            </w:r>
          </w:p>
        </w:tc>
      </w:tr>
      <w:tr w:rsidR="00FA0889" w:rsidRPr="00BE1983" w:rsidTr="00186BFF">
        <w:tc>
          <w:tcPr>
            <w:tcW w:w="6599" w:type="dxa"/>
          </w:tcPr>
          <w:p w:rsidR="00FA0889" w:rsidRPr="00AB47FF" w:rsidRDefault="006D7785" w:rsidP="006D7785">
            <w:pPr>
              <w:pStyle w:val="Paragraphedeliste"/>
              <w:spacing w:afterLines="30" w:after="72"/>
              <w:ind w:left="0"/>
              <w:rPr>
                <w:szCs w:val="22"/>
              </w:rPr>
            </w:pPr>
            <w:r>
              <w:rPr>
                <w:szCs w:val="22"/>
              </w:rPr>
              <w:t xml:space="preserve">- </w:t>
            </w:r>
            <w:r w:rsidR="00EA57B4" w:rsidRPr="00AB47FF">
              <w:rPr>
                <w:szCs w:val="22"/>
              </w:rPr>
              <w:t>Dépôts de garantie à percevoir et remboursement du FCTVA pour les investissements réalisés en 2016 hors travaux d’équipements photovoltaïques et hors travaux d’enfouissement des réseaux de télécommunication. (</w:t>
            </w:r>
            <w:proofErr w:type="gramStart"/>
            <w:r w:rsidR="00EA57B4" w:rsidRPr="00AB47FF">
              <w:rPr>
                <w:szCs w:val="22"/>
              </w:rPr>
              <w:t>chapitres</w:t>
            </w:r>
            <w:proofErr w:type="gramEnd"/>
            <w:r w:rsidR="00EA57B4" w:rsidRPr="00AB47FF">
              <w:rPr>
                <w:szCs w:val="22"/>
              </w:rPr>
              <w:t xml:space="preserve"> 10 et 16)</w:t>
            </w:r>
          </w:p>
        </w:tc>
        <w:tc>
          <w:tcPr>
            <w:tcW w:w="2461" w:type="dxa"/>
          </w:tcPr>
          <w:p w:rsidR="00FA0889" w:rsidRDefault="00EA57B4" w:rsidP="00BE1983">
            <w:pPr>
              <w:tabs>
                <w:tab w:val="right" w:pos="2985"/>
              </w:tabs>
              <w:spacing w:afterLines="30" w:after="72"/>
              <w:jc w:val="right"/>
              <w:rPr>
                <w:szCs w:val="22"/>
              </w:rPr>
            </w:pPr>
            <w:r>
              <w:rPr>
                <w:szCs w:val="22"/>
              </w:rPr>
              <w:t>76 000 €</w:t>
            </w:r>
          </w:p>
        </w:tc>
      </w:tr>
      <w:tr w:rsidR="00BE1983" w:rsidRPr="00BE1983" w:rsidTr="00186BFF">
        <w:trPr>
          <w:trHeight w:val="741"/>
        </w:trPr>
        <w:tc>
          <w:tcPr>
            <w:tcW w:w="6599" w:type="dxa"/>
          </w:tcPr>
          <w:p w:rsidR="000F2996" w:rsidRDefault="00BE1983" w:rsidP="00BE1983">
            <w:pPr>
              <w:tabs>
                <w:tab w:val="right" w:pos="7560"/>
              </w:tabs>
              <w:spacing w:afterLines="30" w:after="72"/>
              <w:rPr>
                <w:szCs w:val="22"/>
              </w:rPr>
            </w:pPr>
            <w:r w:rsidRPr="00BE1983">
              <w:rPr>
                <w:szCs w:val="22"/>
              </w:rPr>
              <w:lastRenderedPageBreak/>
              <w:t>- Emprunt pré</w:t>
            </w:r>
            <w:r w:rsidR="00554BB4">
              <w:rPr>
                <w:szCs w:val="22"/>
              </w:rPr>
              <w:t>visionnel pour financer</w:t>
            </w:r>
            <w:r w:rsidR="000F2996">
              <w:rPr>
                <w:szCs w:val="22"/>
              </w:rPr>
              <w:t> :</w:t>
            </w:r>
          </w:p>
          <w:p w:rsidR="000F2996" w:rsidRDefault="00554BB4" w:rsidP="000F2996">
            <w:pPr>
              <w:pStyle w:val="Paragraphedeliste"/>
              <w:numPr>
                <w:ilvl w:val="0"/>
                <w:numId w:val="4"/>
              </w:numPr>
              <w:tabs>
                <w:tab w:val="right" w:pos="7560"/>
              </w:tabs>
              <w:spacing w:afterLines="30" w:after="72"/>
              <w:rPr>
                <w:szCs w:val="22"/>
              </w:rPr>
            </w:pPr>
            <w:proofErr w:type="gramStart"/>
            <w:r w:rsidRPr="000F2996">
              <w:rPr>
                <w:szCs w:val="22"/>
              </w:rPr>
              <w:t>l’achat</w:t>
            </w:r>
            <w:proofErr w:type="gramEnd"/>
            <w:r w:rsidRPr="000F2996">
              <w:rPr>
                <w:szCs w:val="22"/>
              </w:rPr>
              <w:t xml:space="preserve"> </w:t>
            </w:r>
            <w:r w:rsidR="00BE1983" w:rsidRPr="000F2996">
              <w:rPr>
                <w:szCs w:val="22"/>
              </w:rPr>
              <w:t>d</w:t>
            </w:r>
            <w:r w:rsidR="00C40D06" w:rsidRPr="000F2996">
              <w:rPr>
                <w:szCs w:val="22"/>
              </w:rPr>
              <w:t>e</w:t>
            </w:r>
            <w:r w:rsidR="00BE1983" w:rsidRPr="000F2996">
              <w:rPr>
                <w:szCs w:val="22"/>
              </w:rPr>
              <w:t xml:space="preserve"> terrain</w:t>
            </w:r>
            <w:r w:rsidR="00C40D06" w:rsidRPr="000F2996">
              <w:rPr>
                <w:szCs w:val="22"/>
              </w:rPr>
              <w:t>s pour l’installation de</w:t>
            </w:r>
            <w:r w:rsidR="00BE1983" w:rsidRPr="000F2996">
              <w:rPr>
                <w:szCs w:val="22"/>
              </w:rPr>
              <w:t xml:space="preserve"> centrale</w:t>
            </w:r>
            <w:r w:rsidR="00C40D06" w:rsidRPr="000F2996">
              <w:rPr>
                <w:szCs w:val="22"/>
              </w:rPr>
              <w:t>s</w:t>
            </w:r>
            <w:r w:rsidR="00BE1983" w:rsidRPr="000F2996">
              <w:rPr>
                <w:szCs w:val="22"/>
              </w:rPr>
              <w:t xml:space="preserve"> géothermale </w:t>
            </w:r>
            <w:r w:rsidR="008F6CA0" w:rsidRPr="000F2996">
              <w:rPr>
                <w:szCs w:val="22"/>
              </w:rPr>
              <w:t>dans le cadre</w:t>
            </w:r>
            <w:r w:rsidR="00F63749" w:rsidRPr="000F2996">
              <w:rPr>
                <w:szCs w:val="22"/>
              </w:rPr>
              <w:t xml:space="preserve"> de</w:t>
            </w:r>
            <w:r w:rsidR="008F6CA0" w:rsidRPr="000F2996">
              <w:rPr>
                <w:szCs w:val="22"/>
              </w:rPr>
              <w:t>s projets avec les Villes de</w:t>
            </w:r>
            <w:r w:rsidR="00F63749" w:rsidRPr="000F2996">
              <w:rPr>
                <w:szCs w:val="22"/>
              </w:rPr>
              <w:t xml:space="preserve"> </w:t>
            </w:r>
            <w:r w:rsidR="00C40D06" w:rsidRPr="000F2996">
              <w:rPr>
                <w:szCs w:val="22"/>
              </w:rPr>
              <w:t>Malakoff</w:t>
            </w:r>
            <w:r w:rsidR="000977E9">
              <w:rPr>
                <w:szCs w:val="22"/>
              </w:rPr>
              <w:t xml:space="preserve"> </w:t>
            </w:r>
            <w:r w:rsidR="008F6CA0" w:rsidRPr="000F2996">
              <w:rPr>
                <w:szCs w:val="22"/>
              </w:rPr>
              <w:t xml:space="preserve">ainsi que </w:t>
            </w:r>
            <w:r w:rsidR="001A725D" w:rsidRPr="000F2996">
              <w:rPr>
                <w:szCs w:val="22"/>
              </w:rPr>
              <w:t>Epinay</w:t>
            </w:r>
            <w:r w:rsidR="008F6CA0" w:rsidRPr="000F2996">
              <w:rPr>
                <w:szCs w:val="22"/>
              </w:rPr>
              <w:t>-</w:t>
            </w:r>
            <w:r w:rsidR="001A725D" w:rsidRPr="000F2996">
              <w:rPr>
                <w:szCs w:val="22"/>
              </w:rPr>
              <w:t>sur</w:t>
            </w:r>
            <w:r w:rsidR="000977E9">
              <w:rPr>
                <w:szCs w:val="22"/>
              </w:rPr>
              <w:t>-Seine et Villetaneuse                    (1,4 M</w:t>
            </w:r>
            <w:r w:rsidR="008F6CA0" w:rsidRPr="000F2996">
              <w:rPr>
                <w:szCs w:val="22"/>
              </w:rPr>
              <w:t>€)</w:t>
            </w:r>
            <w:r w:rsidR="00BE1983" w:rsidRPr="000F2996">
              <w:rPr>
                <w:szCs w:val="22"/>
              </w:rPr>
              <w:t xml:space="preserve">, </w:t>
            </w:r>
          </w:p>
          <w:p w:rsidR="00226290" w:rsidRPr="000977E9" w:rsidRDefault="00BE1983" w:rsidP="000F2996">
            <w:pPr>
              <w:pStyle w:val="Paragraphedeliste"/>
              <w:numPr>
                <w:ilvl w:val="0"/>
                <w:numId w:val="4"/>
              </w:numPr>
              <w:tabs>
                <w:tab w:val="right" w:pos="7560"/>
              </w:tabs>
              <w:spacing w:afterLines="30" w:after="72"/>
              <w:rPr>
                <w:szCs w:val="22"/>
              </w:rPr>
            </w:pPr>
            <w:proofErr w:type="gramStart"/>
            <w:r w:rsidRPr="000977E9">
              <w:rPr>
                <w:szCs w:val="22"/>
              </w:rPr>
              <w:t>des</w:t>
            </w:r>
            <w:proofErr w:type="gramEnd"/>
            <w:r w:rsidRPr="000977E9">
              <w:rPr>
                <w:szCs w:val="22"/>
              </w:rPr>
              <w:t xml:space="preserve"> opérations d’instal</w:t>
            </w:r>
            <w:r w:rsidR="00F63749" w:rsidRPr="000977E9">
              <w:rPr>
                <w:szCs w:val="22"/>
              </w:rPr>
              <w:t>lations photovoltaïques</w:t>
            </w:r>
            <w:r w:rsidRPr="000977E9">
              <w:rPr>
                <w:szCs w:val="22"/>
              </w:rPr>
              <w:t>,</w:t>
            </w:r>
            <w:r w:rsidR="000977E9" w:rsidRPr="000977E9">
              <w:rPr>
                <w:szCs w:val="22"/>
              </w:rPr>
              <w:t xml:space="preserve"> </w:t>
            </w:r>
            <w:r w:rsidR="008F6CA0" w:rsidRPr="000977E9">
              <w:rPr>
                <w:szCs w:val="22"/>
              </w:rPr>
              <w:t xml:space="preserve">des études </w:t>
            </w:r>
            <w:r w:rsidR="00554BB4" w:rsidRPr="000977E9">
              <w:rPr>
                <w:szCs w:val="22"/>
              </w:rPr>
              <w:t xml:space="preserve">pour développer des projets </w:t>
            </w:r>
            <w:r w:rsidR="00587519" w:rsidRPr="000977E9">
              <w:rPr>
                <w:szCs w:val="22"/>
              </w:rPr>
              <w:t>de production d’énergies renouvelables</w:t>
            </w:r>
            <w:r w:rsidR="00554BB4" w:rsidRPr="000977E9">
              <w:rPr>
                <w:szCs w:val="22"/>
              </w:rPr>
              <w:t xml:space="preserve"> </w:t>
            </w:r>
            <w:r w:rsidR="00587519" w:rsidRPr="000977E9">
              <w:rPr>
                <w:szCs w:val="22"/>
              </w:rPr>
              <w:t>par</w:t>
            </w:r>
            <w:r w:rsidR="00554BB4" w:rsidRPr="000977E9">
              <w:rPr>
                <w:szCs w:val="22"/>
              </w:rPr>
              <w:t xml:space="preserve"> </w:t>
            </w:r>
            <w:r w:rsidR="008F6CA0" w:rsidRPr="000977E9">
              <w:rPr>
                <w:szCs w:val="22"/>
              </w:rPr>
              <w:t xml:space="preserve">méthanisation </w:t>
            </w:r>
            <w:r w:rsidR="00431643" w:rsidRPr="000977E9">
              <w:rPr>
                <w:szCs w:val="22"/>
              </w:rPr>
              <w:t xml:space="preserve">et </w:t>
            </w:r>
            <w:r w:rsidR="008F6CA0" w:rsidRPr="000977E9">
              <w:rPr>
                <w:szCs w:val="22"/>
              </w:rPr>
              <w:t xml:space="preserve">hydrogène </w:t>
            </w:r>
            <w:r w:rsidR="000977E9" w:rsidRPr="000977E9">
              <w:rPr>
                <w:szCs w:val="22"/>
              </w:rPr>
              <w:t xml:space="preserve">et </w:t>
            </w:r>
            <w:r w:rsidR="000F2996" w:rsidRPr="000977E9">
              <w:rPr>
                <w:szCs w:val="22"/>
              </w:rPr>
              <w:t xml:space="preserve">le développement du système d’information permettant la gestion </w:t>
            </w:r>
            <w:r w:rsidR="00226290" w:rsidRPr="000977E9">
              <w:rPr>
                <w:szCs w:val="22"/>
              </w:rPr>
              <w:t>technique et financière dématérialisée</w:t>
            </w:r>
            <w:r w:rsidR="000F2996" w:rsidRPr="000977E9">
              <w:rPr>
                <w:szCs w:val="22"/>
              </w:rPr>
              <w:t xml:space="preserve"> et </w:t>
            </w:r>
            <w:r w:rsidR="00226290" w:rsidRPr="000977E9">
              <w:rPr>
                <w:szCs w:val="22"/>
              </w:rPr>
              <w:t>optimisée de l’ensemble des activités</w:t>
            </w:r>
            <w:r w:rsidR="000F2996" w:rsidRPr="000977E9">
              <w:rPr>
                <w:szCs w:val="22"/>
              </w:rPr>
              <w:t xml:space="preserve"> </w:t>
            </w:r>
            <w:r w:rsidR="00226290" w:rsidRPr="000977E9">
              <w:rPr>
                <w:szCs w:val="22"/>
              </w:rPr>
              <w:t xml:space="preserve">du Syndicat, la refonte de son site internet, l’achat d’une plateforme de données pour l’activité Villes connectées </w:t>
            </w:r>
            <w:r w:rsidR="000977E9">
              <w:rPr>
                <w:szCs w:val="22"/>
              </w:rPr>
              <w:t>pour 1,8 M</w:t>
            </w:r>
            <w:r w:rsidR="00226290" w:rsidRPr="000977E9">
              <w:rPr>
                <w:szCs w:val="22"/>
              </w:rPr>
              <w:t>€</w:t>
            </w:r>
            <w:r w:rsidR="000977E9">
              <w:rPr>
                <w:szCs w:val="22"/>
              </w:rPr>
              <w:t xml:space="preserve"> au total</w:t>
            </w:r>
            <w:r w:rsidR="00226290" w:rsidRPr="000977E9">
              <w:rPr>
                <w:szCs w:val="22"/>
              </w:rPr>
              <w:t>,</w:t>
            </w:r>
          </w:p>
          <w:p w:rsidR="00BE1983" w:rsidRPr="000F2996" w:rsidRDefault="00226290" w:rsidP="000F2996">
            <w:pPr>
              <w:pStyle w:val="Paragraphedeliste"/>
              <w:numPr>
                <w:ilvl w:val="0"/>
                <w:numId w:val="4"/>
              </w:numPr>
              <w:tabs>
                <w:tab w:val="right" w:pos="7560"/>
              </w:tabs>
              <w:spacing w:afterLines="30" w:after="72"/>
              <w:rPr>
                <w:szCs w:val="22"/>
              </w:rPr>
            </w:pPr>
            <w:proofErr w:type="gramStart"/>
            <w:r>
              <w:rPr>
                <w:szCs w:val="22"/>
              </w:rPr>
              <w:t>des</w:t>
            </w:r>
            <w:proofErr w:type="gramEnd"/>
            <w:r>
              <w:rPr>
                <w:szCs w:val="22"/>
              </w:rPr>
              <w:t xml:space="preserve"> opérations</w:t>
            </w:r>
            <w:r w:rsidR="00BE1983" w:rsidRPr="000F2996">
              <w:rPr>
                <w:szCs w:val="22"/>
              </w:rPr>
              <w:t xml:space="preserve"> d’enfouissement de rés</w:t>
            </w:r>
            <w:r w:rsidR="00F63749" w:rsidRPr="000F2996">
              <w:rPr>
                <w:szCs w:val="22"/>
              </w:rPr>
              <w:t>eaux de communication (</w:t>
            </w:r>
            <w:r w:rsidR="008F6CA0" w:rsidRPr="000F2996">
              <w:rPr>
                <w:szCs w:val="22"/>
              </w:rPr>
              <w:t>7</w:t>
            </w:r>
            <w:r w:rsidR="000977E9">
              <w:rPr>
                <w:szCs w:val="22"/>
              </w:rPr>
              <w:t>,</w:t>
            </w:r>
            <w:r w:rsidR="008F6CA0" w:rsidRPr="000F2996">
              <w:rPr>
                <w:szCs w:val="22"/>
              </w:rPr>
              <w:t>1</w:t>
            </w:r>
            <w:r w:rsidR="000977E9">
              <w:rPr>
                <w:szCs w:val="22"/>
              </w:rPr>
              <w:t xml:space="preserve"> M</w:t>
            </w:r>
            <w:r w:rsidR="00BE1983" w:rsidRPr="000F2996">
              <w:rPr>
                <w:szCs w:val="22"/>
              </w:rPr>
              <w:t>€). Concernant cette dernière activité, le SIPPEREC effectue un préfinancement pour le compte des communes souhaitant bénéficier du dispositi</w:t>
            </w:r>
            <w:r w:rsidR="00D94D4F">
              <w:rPr>
                <w:szCs w:val="22"/>
              </w:rPr>
              <w:t>f. Le remboursement s’effectue</w:t>
            </w:r>
            <w:r w:rsidR="00BE1983" w:rsidRPr="000F2996">
              <w:rPr>
                <w:szCs w:val="22"/>
              </w:rPr>
              <w:t xml:space="preserve"> par compensation sur les recettes reversées par le Syndicat (RODP électricité, et TCCFE).</w:t>
            </w:r>
          </w:p>
          <w:p w:rsidR="00BE1983" w:rsidRPr="00BE1983" w:rsidRDefault="00BE1983" w:rsidP="00A07BC8">
            <w:pPr>
              <w:tabs>
                <w:tab w:val="right" w:pos="7560"/>
              </w:tabs>
              <w:spacing w:afterLines="30" w:after="72"/>
              <w:rPr>
                <w:szCs w:val="22"/>
              </w:rPr>
            </w:pPr>
            <w:r w:rsidRPr="00BE1983">
              <w:rPr>
                <w:szCs w:val="22"/>
              </w:rPr>
              <w:t>Enfin, des crédits sont inscrits permettant la mobilisation d’une ligne de trésorerie consolidable pour une gestion active de la trésorerie principalement pour les travaux d’enfouissement de réseaux (</w:t>
            </w:r>
            <w:r w:rsidR="00F63749">
              <w:rPr>
                <w:szCs w:val="22"/>
              </w:rPr>
              <w:t xml:space="preserve">plafond de </w:t>
            </w:r>
            <w:r w:rsidR="008F6CA0">
              <w:rPr>
                <w:szCs w:val="22"/>
              </w:rPr>
              <w:t>8 </w:t>
            </w:r>
            <w:r w:rsidR="000977E9">
              <w:rPr>
                <w:szCs w:val="22"/>
              </w:rPr>
              <w:t>M</w:t>
            </w:r>
            <w:r w:rsidRPr="00BE1983">
              <w:rPr>
                <w:szCs w:val="22"/>
              </w:rPr>
              <w:t>€ - également inscrite pour le même montant en dépenses). (</w:t>
            </w:r>
            <w:proofErr w:type="gramStart"/>
            <w:r w:rsidRPr="00BE1983">
              <w:rPr>
                <w:szCs w:val="22"/>
              </w:rPr>
              <w:t>chapitre</w:t>
            </w:r>
            <w:proofErr w:type="gramEnd"/>
            <w:r w:rsidRPr="00BE1983">
              <w:rPr>
                <w:szCs w:val="22"/>
              </w:rPr>
              <w:t xml:space="preserve"> 16)</w:t>
            </w:r>
          </w:p>
        </w:tc>
        <w:tc>
          <w:tcPr>
            <w:tcW w:w="2461" w:type="dxa"/>
          </w:tcPr>
          <w:p w:rsidR="00BE1983" w:rsidRPr="00BE1983" w:rsidRDefault="000E284C" w:rsidP="00BE1983">
            <w:pPr>
              <w:spacing w:afterLines="30" w:after="72"/>
              <w:jc w:val="right"/>
              <w:rPr>
                <w:szCs w:val="22"/>
              </w:rPr>
            </w:pPr>
            <w:r>
              <w:rPr>
                <w:szCs w:val="22"/>
              </w:rPr>
              <w:t xml:space="preserve">17 582 000 </w:t>
            </w:r>
            <w:r w:rsidR="00BE1983" w:rsidRPr="00BE1983">
              <w:rPr>
                <w:szCs w:val="22"/>
              </w:rPr>
              <w:t>€</w:t>
            </w:r>
          </w:p>
          <w:p w:rsidR="00BE1983" w:rsidRPr="00BE1983" w:rsidRDefault="00BE1983" w:rsidP="00BE1983">
            <w:pPr>
              <w:spacing w:afterLines="30" w:after="72"/>
              <w:jc w:val="right"/>
              <w:rPr>
                <w:szCs w:val="22"/>
              </w:rPr>
            </w:pPr>
          </w:p>
        </w:tc>
      </w:tr>
      <w:tr w:rsidR="00BE1983" w:rsidRPr="00BE1983" w:rsidTr="00186BFF">
        <w:trPr>
          <w:trHeight w:val="512"/>
        </w:trPr>
        <w:tc>
          <w:tcPr>
            <w:tcW w:w="6599" w:type="dxa"/>
          </w:tcPr>
          <w:p w:rsidR="00BE1983" w:rsidRPr="00BE1983" w:rsidRDefault="00BE1983" w:rsidP="00BE1983">
            <w:pPr>
              <w:tabs>
                <w:tab w:val="right" w:pos="7560"/>
              </w:tabs>
              <w:spacing w:afterLines="30" w:after="72"/>
              <w:rPr>
                <w:szCs w:val="22"/>
                <w:highlight w:val="yellow"/>
              </w:rPr>
            </w:pPr>
            <w:r w:rsidRPr="00BE1983">
              <w:rPr>
                <w:szCs w:val="22"/>
              </w:rPr>
              <w:t xml:space="preserve">- </w:t>
            </w:r>
            <w:r w:rsidR="00FA0889">
              <w:rPr>
                <w:szCs w:val="22"/>
              </w:rPr>
              <w:t>P</w:t>
            </w:r>
            <w:r w:rsidR="007D5EBB">
              <w:rPr>
                <w:szCs w:val="22"/>
              </w:rPr>
              <w:t>roduit</w:t>
            </w:r>
            <w:r w:rsidR="00E42182">
              <w:rPr>
                <w:szCs w:val="22"/>
              </w:rPr>
              <w:t xml:space="preserve"> de</w:t>
            </w:r>
            <w:r w:rsidR="00602504">
              <w:rPr>
                <w:szCs w:val="22"/>
              </w:rPr>
              <w:t xml:space="preserve"> la cession des</w:t>
            </w:r>
            <w:r w:rsidRPr="00BE1983">
              <w:rPr>
                <w:szCs w:val="22"/>
              </w:rPr>
              <w:t xml:space="preserve"> anciens locaux dont le syndicat est propriétaire</w:t>
            </w:r>
            <w:r w:rsidR="004473FA">
              <w:rPr>
                <w:szCs w:val="22"/>
              </w:rPr>
              <w:t xml:space="preserve">. Cette inscription permet de </w:t>
            </w:r>
            <w:r w:rsidR="00602504">
              <w:rPr>
                <w:szCs w:val="22"/>
              </w:rPr>
              <w:t>prévoir</w:t>
            </w:r>
            <w:r w:rsidR="004473FA">
              <w:rPr>
                <w:szCs w:val="22"/>
              </w:rPr>
              <w:t xml:space="preserve"> le </w:t>
            </w:r>
            <w:r w:rsidR="00602504">
              <w:rPr>
                <w:szCs w:val="22"/>
              </w:rPr>
              <w:t>report</w:t>
            </w:r>
            <w:r w:rsidR="004473FA">
              <w:rPr>
                <w:szCs w:val="22"/>
              </w:rPr>
              <w:t xml:space="preserve"> éventuel de la signature</w:t>
            </w:r>
            <w:r w:rsidRPr="00BE1983">
              <w:rPr>
                <w:szCs w:val="22"/>
              </w:rPr>
              <w:t xml:space="preserve"> </w:t>
            </w:r>
            <w:r w:rsidR="004473FA">
              <w:rPr>
                <w:szCs w:val="22"/>
              </w:rPr>
              <w:t xml:space="preserve">de la promesse de vente </w:t>
            </w:r>
            <w:r w:rsidR="000977E9">
              <w:rPr>
                <w:szCs w:val="22"/>
              </w:rPr>
              <w:t>en cours de signature</w:t>
            </w:r>
            <w:r w:rsidR="004473FA">
              <w:rPr>
                <w:szCs w:val="22"/>
              </w:rPr>
              <w:t xml:space="preserve"> au début d</w:t>
            </w:r>
            <w:r w:rsidR="000977E9">
              <w:rPr>
                <w:szCs w:val="22"/>
              </w:rPr>
              <w:t>e l</w:t>
            </w:r>
            <w:r w:rsidR="004473FA">
              <w:rPr>
                <w:szCs w:val="22"/>
              </w:rPr>
              <w:t>’année 2018</w:t>
            </w:r>
            <w:r w:rsidR="00E6271B">
              <w:rPr>
                <w:szCs w:val="22"/>
              </w:rPr>
              <w:t>.</w:t>
            </w:r>
            <w:r w:rsidR="004473FA">
              <w:rPr>
                <w:szCs w:val="22"/>
              </w:rPr>
              <w:t xml:space="preserve"> </w:t>
            </w:r>
            <w:r w:rsidRPr="00BE1983">
              <w:rPr>
                <w:szCs w:val="22"/>
              </w:rPr>
              <w:t>(</w:t>
            </w:r>
            <w:proofErr w:type="gramStart"/>
            <w:r w:rsidRPr="00BE1983">
              <w:rPr>
                <w:szCs w:val="22"/>
              </w:rPr>
              <w:t>chapitre</w:t>
            </w:r>
            <w:r w:rsidR="00260981">
              <w:rPr>
                <w:szCs w:val="22"/>
              </w:rPr>
              <w:t>s</w:t>
            </w:r>
            <w:proofErr w:type="gramEnd"/>
            <w:r w:rsidRPr="00BE1983">
              <w:rPr>
                <w:szCs w:val="22"/>
              </w:rPr>
              <w:t xml:space="preserve"> 024</w:t>
            </w:r>
            <w:r w:rsidR="00260981">
              <w:rPr>
                <w:szCs w:val="22"/>
              </w:rPr>
              <w:t xml:space="preserve"> et 16</w:t>
            </w:r>
            <w:r w:rsidRPr="00BE1983">
              <w:rPr>
                <w:szCs w:val="22"/>
              </w:rPr>
              <w:t>)</w:t>
            </w:r>
          </w:p>
        </w:tc>
        <w:tc>
          <w:tcPr>
            <w:tcW w:w="2461" w:type="dxa"/>
          </w:tcPr>
          <w:p w:rsidR="00BE1983" w:rsidRPr="00BE1983" w:rsidRDefault="004473FA" w:rsidP="00BE1983">
            <w:pPr>
              <w:tabs>
                <w:tab w:val="right" w:pos="7560"/>
              </w:tabs>
              <w:spacing w:afterLines="30" w:after="72"/>
              <w:jc w:val="right"/>
              <w:rPr>
                <w:szCs w:val="22"/>
                <w:highlight w:val="yellow"/>
              </w:rPr>
            </w:pPr>
            <w:r>
              <w:rPr>
                <w:szCs w:val="22"/>
              </w:rPr>
              <w:t>1 </w:t>
            </w:r>
            <w:r w:rsidR="00E6271B">
              <w:rPr>
                <w:szCs w:val="22"/>
              </w:rPr>
              <w:t>8</w:t>
            </w:r>
            <w:r w:rsidR="00FA0889">
              <w:rPr>
                <w:szCs w:val="22"/>
              </w:rPr>
              <w:t>05</w:t>
            </w:r>
            <w:r>
              <w:rPr>
                <w:szCs w:val="22"/>
              </w:rPr>
              <w:t xml:space="preserve"> 000 </w:t>
            </w:r>
            <w:r w:rsidR="00BE1983" w:rsidRPr="00BE1983">
              <w:rPr>
                <w:szCs w:val="22"/>
              </w:rPr>
              <w:t>€</w:t>
            </w:r>
          </w:p>
        </w:tc>
      </w:tr>
      <w:tr w:rsidR="00BE1983" w:rsidRPr="00BE1983" w:rsidTr="00186BFF">
        <w:trPr>
          <w:trHeight w:val="564"/>
        </w:trPr>
        <w:tc>
          <w:tcPr>
            <w:tcW w:w="6599" w:type="dxa"/>
          </w:tcPr>
          <w:p w:rsidR="00BE1983" w:rsidRPr="00BE1983" w:rsidRDefault="00BE1983" w:rsidP="00A07BC8">
            <w:pPr>
              <w:spacing w:afterLines="30" w:after="72"/>
              <w:rPr>
                <w:szCs w:val="22"/>
                <w:highlight w:val="yellow"/>
              </w:rPr>
            </w:pPr>
            <w:r w:rsidRPr="00BE1983">
              <w:rPr>
                <w:szCs w:val="22"/>
              </w:rPr>
              <w:t>- Dotation aux amortissements des immobilisations acquis</w:t>
            </w:r>
            <w:r w:rsidR="00F63749">
              <w:rPr>
                <w:szCs w:val="22"/>
              </w:rPr>
              <w:t>es durant les années 2007 à 2017</w:t>
            </w:r>
            <w:r w:rsidRPr="00BE1983">
              <w:rPr>
                <w:szCs w:val="22"/>
              </w:rPr>
              <w:t>. (</w:t>
            </w:r>
            <w:proofErr w:type="gramStart"/>
            <w:r w:rsidRPr="00BE1983">
              <w:rPr>
                <w:szCs w:val="22"/>
              </w:rPr>
              <w:t>chapitre</w:t>
            </w:r>
            <w:proofErr w:type="gramEnd"/>
            <w:r w:rsidRPr="00BE1983">
              <w:rPr>
                <w:szCs w:val="22"/>
              </w:rPr>
              <w:t xml:space="preserve"> 040)</w:t>
            </w:r>
          </w:p>
        </w:tc>
        <w:tc>
          <w:tcPr>
            <w:tcW w:w="2461" w:type="dxa"/>
          </w:tcPr>
          <w:p w:rsidR="00BE1983" w:rsidRPr="00BE1983" w:rsidRDefault="003D3674" w:rsidP="00BE1983">
            <w:pPr>
              <w:tabs>
                <w:tab w:val="right" w:pos="7560"/>
              </w:tabs>
              <w:spacing w:afterLines="30" w:after="72"/>
              <w:jc w:val="right"/>
              <w:rPr>
                <w:szCs w:val="22"/>
                <w:highlight w:val="yellow"/>
              </w:rPr>
            </w:pPr>
            <w:r>
              <w:rPr>
                <w:szCs w:val="22"/>
              </w:rPr>
              <w:t xml:space="preserve"> 3 030 000 </w:t>
            </w:r>
            <w:r w:rsidR="00BE1983" w:rsidRPr="00BE1983">
              <w:rPr>
                <w:szCs w:val="22"/>
              </w:rPr>
              <w:t>€</w:t>
            </w:r>
          </w:p>
        </w:tc>
      </w:tr>
      <w:tr w:rsidR="00BE1983" w:rsidRPr="00BE1983" w:rsidTr="00186BFF">
        <w:tc>
          <w:tcPr>
            <w:tcW w:w="6599" w:type="dxa"/>
          </w:tcPr>
          <w:p w:rsidR="00BE1983" w:rsidRPr="00BE1983" w:rsidRDefault="00BE1983" w:rsidP="00BE1983">
            <w:pPr>
              <w:tabs>
                <w:tab w:val="right" w:pos="7560"/>
              </w:tabs>
              <w:spacing w:afterLines="30" w:after="72"/>
              <w:rPr>
                <w:szCs w:val="22"/>
                <w:highlight w:val="yellow"/>
              </w:rPr>
            </w:pPr>
            <w:r w:rsidRPr="00BE1983">
              <w:rPr>
                <w:szCs w:val="22"/>
              </w:rPr>
              <w:t>- Opérations d’ordre patrimoniales relatives aux écritures comptables des travaux d’enfouissement sur le réseau d’électricité pour transfert à l’actif mis en concession. (</w:t>
            </w:r>
            <w:proofErr w:type="gramStart"/>
            <w:r w:rsidRPr="00BE1983">
              <w:rPr>
                <w:szCs w:val="22"/>
              </w:rPr>
              <w:t>chapitre</w:t>
            </w:r>
            <w:proofErr w:type="gramEnd"/>
            <w:r w:rsidRPr="00BE1983">
              <w:rPr>
                <w:szCs w:val="22"/>
              </w:rPr>
              <w:t xml:space="preserve"> 041)</w:t>
            </w:r>
          </w:p>
        </w:tc>
        <w:tc>
          <w:tcPr>
            <w:tcW w:w="2461" w:type="dxa"/>
          </w:tcPr>
          <w:p w:rsidR="00BE1983" w:rsidRPr="00BE1983" w:rsidRDefault="00890D94" w:rsidP="00BE1983">
            <w:pPr>
              <w:tabs>
                <w:tab w:val="right" w:pos="7560"/>
              </w:tabs>
              <w:spacing w:afterLines="30" w:after="72"/>
              <w:jc w:val="right"/>
              <w:rPr>
                <w:szCs w:val="22"/>
              </w:rPr>
            </w:pPr>
            <w:r>
              <w:rPr>
                <w:szCs w:val="22"/>
              </w:rPr>
              <w:t xml:space="preserve">7 400 000 </w:t>
            </w:r>
            <w:r w:rsidR="00BE1983" w:rsidRPr="00BE1983">
              <w:rPr>
                <w:szCs w:val="22"/>
              </w:rPr>
              <w:t>€</w:t>
            </w:r>
          </w:p>
          <w:p w:rsidR="00BE1983" w:rsidRPr="00BE1983" w:rsidRDefault="00BE1983" w:rsidP="00BE1983">
            <w:pPr>
              <w:spacing w:afterLines="30" w:after="72"/>
              <w:jc w:val="right"/>
              <w:rPr>
                <w:szCs w:val="22"/>
                <w:highlight w:val="yellow"/>
              </w:rPr>
            </w:pPr>
          </w:p>
        </w:tc>
      </w:tr>
      <w:tr w:rsidR="00BE1983" w:rsidRPr="00BE1983" w:rsidTr="00186BFF">
        <w:tc>
          <w:tcPr>
            <w:tcW w:w="6599" w:type="dxa"/>
          </w:tcPr>
          <w:p w:rsidR="00BE1983" w:rsidRPr="00BE1983" w:rsidRDefault="00BE1983" w:rsidP="00BE1983">
            <w:pPr>
              <w:spacing w:afterLines="30" w:after="72"/>
              <w:rPr>
                <w:szCs w:val="22"/>
              </w:rPr>
            </w:pPr>
            <w:r w:rsidRPr="00BE1983">
              <w:rPr>
                <w:szCs w:val="22"/>
              </w:rPr>
              <w:t>- Prélèvement sur la section de fonctionnement pour équilibrer la section d’investissement. (</w:t>
            </w:r>
            <w:proofErr w:type="gramStart"/>
            <w:r w:rsidRPr="00BE1983">
              <w:rPr>
                <w:szCs w:val="22"/>
              </w:rPr>
              <w:t>chapitre</w:t>
            </w:r>
            <w:proofErr w:type="gramEnd"/>
            <w:r w:rsidRPr="00BE1983">
              <w:rPr>
                <w:szCs w:val="22"/>
              </w:rPr>
              <w:t xml:space="preserve"> 021)</w:t>
            </w:r>
          </w:p>
        </w:tc>
        <w:tc>
          <w:tcPr>
            <w:tcW w:w="2461" w:type="dxa"/>
          </w:tcPr>
          <w:p w:rsidR="00BE1983" w:rsidRPr="00BE1983" w:rsidRDefault="00E6271B" w:rsidP="00BE1983">
            <w:pPr>
              <w:spacing w:afterLines="30" w:after="72"/>
              <w:jc w:val="right"/>
              <w:rPr>
                <w:szCs w:val="22"/>
              </w:rPr>
            </w:pPr>
            <w:r>
              <w:rPr>
                <w:szCs w:val="22"/>
              </w:rPr>
              <w:t xml:space="preserve">11 162 550 </w:t>
            </w:r>
            <w:r w:rsidR="00BE1983" w:rsidRPr="00BE1983">
              <w:rPr>
                <w:szCs w:val="22"/>
              </w:rPr>
              <w:t>€</w:t>
            </w:r>
          </w:p>
        </w:tc>
      </w:tr>
    </w:tbl>
    <w:p w:rsidR="00BE1983" w:rsidRPr="00BE1983" w:rsidRDefault="00BE1983" w:rsidP="00B27F6A">
      <w:pPr>
        <w:keepNext/>
        <w:tabs>
          <w:tab w:val="right" w:pos="360"/>
        </w:tabs>
        <w:spacing w:before="240" w:after="60"/>
        <w:outlineLvl w:val="1"/>
        <w:rPr>
          <w:sz w:val="16"/>
          <w:szCs w:val="16"/>
          <w:highlight w:val="cyan"/>
        </w:rPr>
      </w:pPr>
      <w:proofErr w:type="gramStart"/>
      <w:r w:rsidRPr="00BE1983">
        <w:rPr>
          <w:b/>
          <w:i/>
          <w:szCs w:val="22"/>
        </w:rPr>
        <w:t xml:space="preserve">1.2  </w:t>
      </w:r>
      <w:r w:rsidRPr="00BE1983">
        <w:rPr>
          <w:rFonts w:cs="Arial"/>
          <w:b/>
          <w:bCs/>
          <w:i/>
          <w:iCs/>
          <w:szCs w:val="22"/>
        </w:rPr>
        <w:t>Les</w:t>
      </w:r>
      <w:proofErr w:type="gramEnd"/>
      <w:r w:rsidRPr="00BE1983">
        <w:rPr>
          <w:rFonts w:cs="Arial"/>
          <w:b/>
          <w:bCs/>
          <w:i/>
          <w:iCs/>
          <w:szCs w:val="22"/>
        </w:rPr>
        <w:t xml:space="preserve"> dépenses de la section d’investissement :</w:t>
      </w:r>
      <w:r w:rsidRPr="00BE1983">
        <w:rPr>
          <w:rFonts w:cs="Arial"/>
          <w:b/>
          <w:bCs/>
          <w:i/>
          <w:iCs/>
          <w:szCs w:val="22"/>
        </w:rPr>
        <w:tab/>
        <w:t xml:space="preserve">                                </w:t>
      </w:r>
      <w:r w:rsidR="00B27F6A" w:rsidRPr="00B27F6A">
        <w:rPr>
          <w:rFonts w:cs="Arial"/>
          <w:b/>
          <w:bCs/>
          <w:i/>
          <w:iCs/>
          <w:sz w:val="24"/>
          <w:szCs w:val="24"/>
        </w:rPr>
        <w:t>46 386 100 €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1"/>
        <w:gridCol w:w="2469"/>
      </w:tblGrid>
      <w:tr w:rsidR="00BE1983" w:rsidRPr="00BE1983" w:rsidTr="00454822">
        <w:tc>
          <w:tcPr>
            <w:tcW w:w="6591" w:type="dxa"/>
          </w:tcPr>
          <w:p w:rsidR="00BE1983" w:rsidRPr="00BE1983" w:rsidRDefault="00BE1983" w:rsidP="00BE1983">
            <w:pPr>
              <w:tabs>
                <w:tab w:val="right" w:pos="7560"/>
              </w:tabs>
              <w:spacing w:afterLines="30" w:after="72"/>
              <w:rPr>
                <w:szCs w:val="22"/>
                <w:highlight w:val="yellow"/>
              </w:rPr>
            </w:pPr>
            <w:r w:rsidRPr="00BE1983">
              <w:rPr>
                <w:szCs w:val="22"/>
              </w:rPr>
              <w:t>- Programme 201</w:t>
            </w:r>
            <w:r w:rsidR="00270346">
              <w:rPr>
                <w:szCs w:val="22"/>
              </w:rPr>
              <w:t>8</w:t>
            </w:r>
            <w:r w:rsidRPr="00BE1983">
              <w:rPr>
                <w:szCs w:val="22"/>
              </w:rPr>
              <w:t xml:space="preserve"> de travaux liés à l’activité d’enfouissement du réseau de distribution publique d’électricité sous maîtrise d’ouvrage du syndicat et des collectivités. (</w:t>
            </w:r>
            <w:proofErr w:type="gramStart"/>
            <w:r w:rsidRPr="00BE1983">
              <w:rPr>
                <w:szCs w:val="22"/>
              </w:rPr>
              <w:t>chapitres</w:t>
            </w:r>
            <w:proofErr w:type="gramEnd"/>
            <w:r w:rsidRPr="00BE1983">
              <w:rPr>
                <w:szCs w:val="22"/>
              </w:rPr>
              <w:t xml:space="preserve"> 20 et 23)</w:t>
            </w:r>
          </w:p>
        </w:tc>
        <w:tc>
          <w:tcPr>
            <w:tcW w:w="2469" w:type="dxa"/>
          </w:tcPr>
          <w:p w:rsidR="00BE1983" w:rsidRPr="00BE1983" w:rsidRDefault="00FD632B" w:rsidP="00BE1983">
            <w:pPr>
              <w:spacing w:afterLines="30" w:after="72"/>
              <w:jc w:val="right"/>
              <w:rPr>
                <w:szCs w:val="22"/>
              </w:rPr>
            </w:pPr>
            <w:r>
              <w:rPr>
                <w:szCs w:val="22"/>
              </w:rPr>
              <w:t>8 53</w:t>
            </w:r>
            <w:r w:rsidR="002D16F6">
              <w:rPr>
                <w:szCs w:val="22"/>
              </w:rPr>
              <w:t>5</w:t>
            </w:r>
            <w:r w:rsidR="00127AE6">
              <w:rPr>
                <w:szCs w:val="22"/>
              </w:rPr>
              <w:t xml:space="preserve"> 500 </w:t>
            </w:r>
            <w:r w:rsidR="00BE1983" w:rsidRPr="00BE1983">
              <w:rPr>
                <w:szCs w:val="22"/>
              </w:rPr>
              <w:t>€</w:t>
            </w:r>
          </w:p>
          <w:p w:rsidR="00BE1983" w:rsidRPr="00BE1983" w:rsidRDefault="00BE1983" w:rsidP="00BE1983">
            <w:pPr>
              <w:spacing w:afterLines="30" w:after="72"/>
              <w:jc w:val="right"/>
              <w:rPr>
                <w:szCs w:val="22"/>
                <w:highlight w:val="yellow"/>
              </w:rPr>
            </w:pPr>
          </w:p>
        </w:tc>
      </w:tr>
      <w:tr w:rsidR="00BE1983" w:rsidRPr="00BE1983" w:rsidTr="00454822">
        <w:tc>
          <w:tcPr>
            <w:tcW w:w="6591" w:type="dxa"/>
          </w:tcPr>
          <w:p w:rsidR="00BE1983" w:rsidRPr="00BE1983" w:rsidRDefault="00270346" w:rsidP="00BE1983">
            <w:pPr>
              <w:tabs>
                <w:tab w:val="right" w:pos="7560"/>
              </w:tabs>
              <w:spacing w:afterLines="30" w:after="72"/>
              <w:rPr>
                <w:szCs w:val="22"/>
              </w:rPr>
            </w:pPr>
            <w:r>
              <w:rPr>
                <w:szCs w:val="22"/>
              </w:rPr>
              <w:t>- Programme 2018</w:t>
            </w:r>
            <w:r w:rsidR="00BE1983" w:rsidRPr="00BE1983">
              <w:rPr>
                <w:szCs w:val="22"/>
              </w:rPr>
              <w:t xml:space="preserve"> de travaux liés à l’activité d’enfouissement des réseaux de télécommunications autres que ceux </w:t>
            </w:r>
            <w:proofErr w:type="gramStart"/>
            <w:r w:rsidR="00BE1983" w:rsidRPr="00BE1983">
              <w:rPr>
                <w:szCs w:val="22"/>
              </w:rPr>
              <w:t>des collectivi</w:t>
            </w:r>
            <w:r w:rsidR="00D10EFB">
              <w:rPr>
                <w:szCs w:val="22"/>
              </w:rPr>
              <w:t>tés préfinancés</w:t>
            </w:r>
            <w:proofErr w:type="gramEnd"/>
            <w:r w:rsidR="00D10EFB">
              <w:rPr>
                <w:szCs w:val="22"/>
              </w:rPr>
              <w:t xml:space="preserve"> par emprunt du S</w:t>
            </w:r>
            <w:r w:rsidR="00BE1983" w:rsidRPr="00BE1983">
              <w:rPr>
                <w:szCs w:val="22"/>
              </w:rPr>
              <w:t>yndicat. (</w:t>
            </w:r>
            <w:proofErr w:type="gramStart"/>
            <w:r w:rsidR="00BE1983" w:rsidRPr="00BE1983">
              <w:rPr>
                <w:szCs w:val="22"/>
              </w:rPr>
              <w:t>chapitre</w:t>
            </w:r>
            <w:proofErr w:type="gramEnd"/>
            <w:r w:rsidR="00BE1983" w:rsidRPr="00BE1983">
              <w:rPr>
                <w:szCs w:val="22"/>
              </w:rPr>
              <w:t xml:space="preserve"> 23)</w:t>
            </w:r>
          </w:p>
        </w:tc>
        <w:tc>
          <w:tcPr>
            <w:tcW w:w="2469" w:type="dxa"/>
          </w:tcPr>
          <w:p w:rsidR="00BE1983" w:rsidRPr="00BE1983" w:rsidRDefault="00D539F5" w:rsidP="00BE1983">
            <w:pPr>
              <w:spacing w:afterLines="30" w:after="72"/>
              <w:jc w:val="right"/>
              <w:rPr>
                <w:szCs w:val="22"/>
              </w:rPr>
            </w:pPr>
            <w:r>
              <w:rPr>
                <w:szCs w:val="22"/>
              </w:rPr>
              <w:t>7 </w:t>
            </w:r>
            <w:r w:rsidR="00FD632B">
              <w:rPr>
                <w:szCs w:val="22"/>
              </w:rPr>
              <w:t>14</w:t>
            </w:r>
            <w:r>
              <w:rPr>
                <w:szCs w:val="22"/>
              </w:rPr>
              <w:t xml:space="preserve">0 000 </w:t>
            </w:r>
            <w:r w:rsidR="00BE1983" w:rsidRPr="00BE1983">
              <w:rPr>
                <w:szCs w:val="22"/>
              </w:rPr>
              <w:t>€</w:t>
            </w:r>
          </w:p>
        </w:tc>
      </w:tr>
      <w:tr w:rsidR="00BE1983" w:rsidRPr="00BE1983" w:rsidTr="00454822">
        <w:tc>
          <w:tcPr>
            <w:tcW w:w="6591" w:type="dxa"/>
          </w:tcPr>
          <w:p w:rsidR="00BE1983" w:rsidRPr="00BE1983" w:rsidRDefault="00BE1983" w:rsidP="00BE1983">
            <w:pPr>
              <w:tabs>
                <w:tab w:val="right" w:pos="7560"/>
              </w:tabs>
              <w:spacing w:afterLines="30" w:after="72"/>
              <w:rPr>
                <w:szCs w:val="22"/>
              </w:rPr>
            </w:pPr>
            <w:r w:rsidRPr="00BE1983">
              <w:rPr>
                <w:szCs w:val="22"/>
              </w:rPr>
              <w:t>- Programmes de rénovation de colonnes montantes sous maîtrise d’ouvrage du SIPPEREC et subventions des travaux des collectivités concourant à la maîtrise de l’énergie, financés sur l’enveloppe Transition énergétique du fonds de partenariat en application du traité de concession et de l’article 3 modifié suivant l’avenant n°10 à la convention de partenariat avec EDF et ENEDIS (Ex ERDF) signé le 14 avril 2016. (</w:t>
            </w:r>
            <w:proofErr w:type="gramStart"/>
            <w:r w:rsidRPr="00BE1983">
              <w:rPr>
                <w:szCs w:val="22"/>
              </w:rPr>
              <w:t>chapitres</w:t>
            </w:r>
            <w:proofErr w:type="gramEnd"/>
            <w:r w:rsidRPr="00BE1983">
              <w:rPr>
                <w:szCs w:val="22"/>
              </w:rPr>
              <w:t xml:space="preserve"> 204 et 21)</w:t>
            </w:r>
          </w:p>
        </w:tc>
        <w:tc>
          <w:tcPr>
            <w:tcW w:w="2469" w:type="dxa"/>
          </w:tcPr>
          <w:p w:rsidR="00BE1983" w:rsidRPr="00BE1983" w:rsidRDefault="00F575B1" w:rsidP="00BE1983">
            <w:pPr>
              <w:spacing w:afterLines="30" w:after="72"/>
              <w:jc w:val="right"/>
              <w:rPr>
                <w:szCs w:val="22"/>
              </w:rPr>
            </w:pPr>
            <w:r>
              <w:rPr>
                <w:szCs w:val="22"/>
              </w:rPr>
              <w:t>6 5</w:t>
            </w:r>
            <w:r w:rsidR="00722F2C">
              <w:rPr>
                <w:szCs w:val="22"/>
              </w:rPr>
              <w:t xml:space="preserve">00 000 </w:t>
            </w:r>
            <w:r w:rsidR="00BE1983" w:rsidRPr="00BE1983">
              <w:rPr>
                <w:szCs w:val="22"/>
              </w:rPr>
              <w:t>€</w:t>
            </w:r>
          </w:p>
        </w:tc>
      </w:tr>
      <w:tr w:rsidR="00BE1983" w:rsidRPr="00BE1983" w:rsidTr="00454822">
        <w:tc>
          <w:tcPr>
            <w:tcW w:w="6591" w:type="dxa"/>
          </w:tcPr>
          <w:p w:rsidR="00BE1983" w:rsidRPr="00BE1983" w:rsidRDefault="00270346" w:rsidP="00BE1983">
            <w:pPr>
              <w:spacing w:afterLines="30" w:after="72"/>
              <w:rPr>
                <w:szCs w:val="22"/>
                <w:highlight w:val="yellow"/>
              </w:rPr>
            </w:pPr>
            <w:r>
              <w:rPr>
                <w:szCs w:val="22"/>
              </w:rPr>
              <w:t>- Programme 2018</w:t>
            </w:r>
            <w:r w:rsidR="00BE1983" w:rsidRPr="00BE1983">
              <w:rPr>
                <w:szCs w:val="22"/>
              </w:rPr>
              <w:t xml:space="preserve"> pour le développement des énergies renouvelables comportant des études notamment de gé</w:t>
            </w:r>
            <w:r w:rsidR="00932B2C">
              <w:rPr>
                <w:szCs w:val="22"/>
              </w:rPr>
              <w:t xml:space="preserve">othermie, </w:t>
            </w:r>
            <w:r w:rsidR="00932B2C">
              <w:rPr>
                <w:szCs w:val="22"/>
              </w:rPr>
              <w:lastRenderedPageBreak/>
              <w:t>ainsi que l’achat de</w:t>
            </w:r>
            <w:r w:rsidR="00BE1983" w:rsidRPr="00BE1983">
              <w:rPr>
                <w:szCs w:val="22"/>
              </w:rPr>
              <w:t xml:space="preserve"> terrain</w:t>
            </w:r>
            <w:r w:rsidR="00932B2C">
              <w:rPr>
                <w:szCs w:val="22"/>
              </w:rPr>
              <w:t>s pour les projets d’installation de</w:t>
            </w:r>
            <w:r w:rsidR="00932B2C" w:rsidRPr="00BE1983">
              <w:rPr>
                <w:szCs w:val="22"/>
              </w:rPr>
              <w:t xml:space="preserve"> centrale</w:t>
            </w:r>
            <w:r w:rsidR="00932B2C">
              <w:rPr>
                <w:szCs w:val="22"/>
              </w:rPr>
              <w:t>s</w:t>
            </w:r>
            <w:r w:rsidR="00932B2C" w:rsidRPr="00BE1983">
              <w:rPr>
                <w:szCs w:val="22"/>
              </w:rPr>
              <w:t xml:space="preserve"> de géothermie </w:t>
            </w:r>
            <w:r w:rsidR="00932B2C">
              <w:rPr>
                <w:szCs w:val="22"/>
              </w:rPr>
              <w:t>pour Malakoff et pour Epinay-sur-Seine et Villetaneuse,</w:t>
            </w:r>
            <w:r w:rsidR="00BE1983" w:rsidRPr="00BE1983">
              <w:rPr>
                <w:szCs w:val="22"/>
              </w:rPr>
              <w:t xml:space="preserve"> </w:t>
            </w:r>
            <w:r w:rsidR="00932B2C">
              <w:rPr>
                <w:szCs w:val="22"/>
              </w:rPr>
              <w:t>ainsi que pour les</w:t>
            </w:r>
            <w:r w:rsidR="00BE1983" w:rsidRPr="00BE1983">
              <w:rPr>
                <w:szCs w:val="22"/>
              </w:rPr>
              <w:t xml:space="preserve"> reversements de </w:t>
            </w:r>
            <w:r w:rsidR="00932B2C">
              <w:rPr>
                <w:szCs w:val="22"/>
              </w:rPr>
              <w:t xml:space="preserve">participations publiques de la </w:t>
            </w:r>
            <w:r w:rsidR="00BE1983" w:rsidRPr="00BE1983">
              <w:rPr>
                <w:szCs w:val="22"/>
              </w:rPr>
              <w:t>Région Ile-de-</w:t>
            </w:r>
            <w:r w:rsidR="000977E9">
              <w:rPr>
                <w:szCs w:val="22"/>
              </w:rPr>
              <w:t>France,</w:t>
            </w:r>
            <w:r w:rsidR="00BE1983" w:rsidRPr="00BE1983">
              <w:rPr>
                <w:szCs w:val="22"/>
              </w:rPr>
              <w:t xml:space="preserve"> soit aux collectivités dans la cadre des études de faisabilité, soit au délégataire dans le cadre de DSP de réseaux de chaleur à base d</w:t>
            </w:r>
            <w:r w:rsidR="00151508">
              <w:rPr>
                <w:szCs w:val="22"/>
              </w:rPr>
              <w:t>e géothermie. (</w:t>
            </w:r>
            <w:proofErr w:type="gramStart"/>
            <w:r w:rsidR="00151508">
              <w:rPr>
                <w:szCs w:val="22"/>
              </w:rPr>
              <w:t>chapitres</w:t>
            </w:r>
            <w:proofErr w:type="gramEnd"/>
            <w:r w:rsidR="00151508">
              <w:rPr>
                <w:szCs w:val="22"/>
              </w:rPr>
              <w:t xml:space="preserve"> 13, 20 et</w:t>
            </w:r>
            <w:r w:rsidR="00BE1983" w:rsidRPr="00BE1983">
              <w:rPr>
                <w:szCs w:val="22"/>
              </w:rPr>
              <w:t xml:space="preserve"> 21)</w:t>
            </w:r>
          </w:p>
        </w:tc>
        <w:tc>
          <w:tcPr>
            <w:tcW w:w="2469" w:type="dxa"/>
          </w:tcPr>
          <w:p w:rsidR="00BE1983" w:rsidRPr="00BE1983" w:rsidRDefault="00932B2C" w:rsidP="00BE1983">
            <w:pPr>
              <w:spacing w:afterLines="30" w:after="72"/>
              <w:jc w:val="right"/>
              <w:rPr>
                <w:szCs w:val="22"/>
                <w:highlight w:val="yellow"/>
              </w:rPr>
            </w:pPr>
            <w:r>
              <w:rPr>
                <w:szCs w:val="22"/>
              </w:rPr>
              <w:lastRenderedPageBreak/>
              <w:t xml:space="preserve">3 783 800 </w:t>
            </w:r>
            <w:r w:rsidR="00BE1983" w:rsidRPr="00BE1983">
              <w:rPr>
                <w:szCs w:val="22"/>
              </w:rPr>
              <w:t>€</w:t>
            </w:r>
          </w:p>
        </w:tc>
      </w:tr>
      <w:tr w:rsidR="00BE1983" w:rsidRPr="00BE1983" w:rsidTr="00454822">
        <w:trPr>
          <w:trHeight w:val="855"/>
        </w:trPr>
        <w:tc>
          <w:tcPr>
            <w:tcW w:w="6591" w:type="dxa"/>
          </w:tcPr>
          <w:p w:rsidR="00BE1983" w:rsidRPr="00BE1983" w:rsidRDefault="00BE1983" w:rsidP="00BE1983">
            <w:pPr>
              <w:tabs>
                <w:tab w:val="right" w:pos="7560"/>
              </w:tabs>
              <w:spacing w:afterLines="30" w:after="72"/>
              <w:rPr>
                <w:szCs w:val="22"/>
              </w:rPr>
            </w:pPr>
            <w:r w:rsidRPr="00BE1983">
              <w:rPr>
                <w:szCs w:val="22"/>
              </w:rPr>
              <w:t>- Projets sous maîtrise d’ouvrage du SIPPEREC relatifs à la fourniture et la pose d’équipements photovoltaïques. (</w:t>
            </w:r>
            <w:proofErr w:type="gramStart"/>
            <w:r w:rsidRPr="00BE1983">
              <w:rPr>
                <w:szCs w:val="22"/>
              </w:rPr>
              <w:t>chapitres</w:t>
            </w:r>
            <w:proofErr w:type="gramEnd"/>
            <w:r w:rsidRPr="00BE1983">
              <w:rPr>
                <w:szCs w:val="22"/>
              </w:rPr>
              <w:t xml:space="preserve"> 20</w:t>
            </w:r>
            <w:r w:rsidR="00155E94">
              <w:rPr>
                <w:szCs w:val="22"/>
              </w:rPr>
              <w:t>,</w:t>
            </w:r>
            <w:r w:rsidRPr="00BE1983">
              <w:rPr>
                <w:szCs w:val="22"/>
              </w:rPr>
              <w:t xml:space="preserve"> </w:t>
            </w:r>
            <w:r w:rsidR="00155E94">
              <w:rPr>
                <w:szCs w:val="22"/>
              </w:rPr>
              <w:t xml:space="preserve">21 </w:t>
            </w:r>
            <w:r w:rsidRPr="00BE1983">
              <w:rPr>
                <w:szCs w:val="22"/>
              </w:rPr>
              <w:t>et 23)</w:t>
            </w:r>
          </w:p>
        </w:tc>
        <w:tc>
          <w:tcPr>
            <w:tcW w:w="2469" w:type="dxa"/>
          </w:tcPr>
          <w:p w:rsidR="00BE1983" w:rsidRPr="00BE1983" w:rsidRDefault="00151508" w:rsidP="00BE1983">
            <w:pPr>
              <w:spacing w:afterLines="30" w:after="72"/>
              <w:jc w:val="right"/>
              <w:rPr>
                <w:szCs w:val="22"/>
              </w:rPr>
            </w:pPr>
            <w:r>
              <w:rPr>
                <w:szCs w:val="22"/>
              </w:rPr>
              <w:t xml:space="preserve">297 300 </w:t>
            </w:r>
            <w:r w:rsidR="00BE1983" w:rsidRPr="00BE1983">
              <w:rPr>
                <w:szCs w:val="22"/>
              </w:rPr>
              <w:t>€</w:t>
            </w:r>
          </w:p>
        </w:tc>
      </w:tr>
      <w:tr w:rsidR="00BE1983" w:rsidRPr="00BE1983" w:rsidTr="00454822">
        <w:trPr>
          <w:trHeight w:val="1155"/>
        </w:trPr>
        <w:tc>
          <w:tcPr>
            <w:tcW w:w="6591" w:type="dxa"/>
          </w:tcPr>
          <w:p w:rsidR="00BE1983" w:rsidRPr="00BE1983" w:rsidRDefault="00BE1983" w:rsidP="00BE1983">
            <w:pPr>
              <w:tabs>
                <w:tab w:val="right" w:pos="7560"/>
              </w:tabs>
              <w:spacing w:afterLines="30" w:after="72"/>
              <w:rPr>
                <w:szCs w:val="22"/>
              </w:rPr>
            </w:pPr>
            <w:r w:rsidRPr="00BE1983">
              <w:rPr>
                <w:szCs w:val="22"/>
              </w:rPr>
              <w:t xml:space="preserve">- Reversement au délégataire </w:t>
            </w:r>
            <w:proofErr w:type="spellStart"/>
            <w:r w:rsidRPr="00BE1983">
              <w:rPr>
                <w:szCs w:val="22"/>
              </w:rPr>
              <w:t>Sequantic</w:t>
            </w:r>
            <w:proofErr w:type="spellEnd"/>
            <w:r w:rsidRPr="00BE1983">
              <w:rPr>
                <w:szCs w:val="22"/>
              </w:rPr>
              <w:t xml:space="preserve"> Télécom de la participation prévisionnelle </w:t>
            </w:r>
            <w:r w:rsidR="00454822" w:rsidRPr="00BE1983">
              <w:rPr>
                <w:szCs w:val="22"/>
              </w:rPr>
              <w:t>pour l</w:t>
            </w:r>
            <w:r w:rsidR="00454822">
              <w:rPr>
                <w:szCs w:val="22"/>
              </w:rPr>
              <w:t xml:space="preserve">’extension </w:t>
            </w:r>
            <w:r w:rsidR="00454822" w:rsidRPr="00BE1983">
              <w:rPr>
                <w:szCs w:val="22"/>
              </w:rPr>
              <w:t xml:space="preserve">des réseaux Très Haut Débit </w:t>
            </w:r>
            <w:r w:rsidR="00454822">
              <w:rPr>
                <w:szCs w:val="22"/>
              </w:rPr>
              <w:t xml:space="preserve">sur le territoire de la commune de </w:t>
            </w:r>
            <w:proofErr w:type="spellStart"/>
            <w:r w:rsidR="00454822">
              <w:rPr>
                <w:szCs w:val="22"/>
              </w:rPr>
              <w:t>Longpont</w:t>
            </w:r>
            <w:proofErr w:type="spellEnd"/>
            <w:r w:rsidR="00454822">
              <w:rPr>
                <w:szCs w:val="22"/>
              </w:rPr>
              <w:t>-sur-Orge (chapitre 13</w:t>
            </w:r>
            <w:r w:rsidRPr="00BE1983">
              <w:rPr>
                <w:szCs w:val="22"/>
              </w:rPr>
              <w:t>)</w:t>
            </w:r>
          </w:p>
        </w:tc>
        <w:tc>
          <w:tcPr>
            <w:tcW w:w="2469" w:type="dxa"/>
          </w:tcPr>
          <w:p w:rsidR="00BE1983" w:rsidRPr="00454822" w:rsidRDefault="00454822" w:rsidP="00454822">
            <w:pPr>
              <w:spacing w:afterLines="30" w:after="72"/>
              <w:jc w:val="right"/>
              <w:rPr>
                <w:szCs w:val="22"/>
              </w:rPr>
            </w:pPr>
            <w:r>
              <w:rPr>
                <w:szCs w:val="22"/>
              </w:rPr>
              <w:t xml:space="preserve">18 000 </w:t>
            </w:r>
            <w:r w:rsidR="00BE1983" w:rsidRPr="00BE1983">
              <w:rPr>
                <w:szCs w:val="22"/>
              </w:rPr>
              <w:t>€</w:t>
            </w:r>
          </w:p>
        </w:tc>
      </w:tr>
      <w:tr w:rsidR="00BE1983" w:rsidRPr="00BE1983" w:rsidTr="00454822">
        <w:tc>
          <w:tcPr>
            <w:tcW w:w="6591" w:type="dxa"/>
          </w:tcPr>
          <w:p w:rsidR="00BE1983" w:rsidRPr="00BE1983" w:rsidRDefault="00BE1983" w:rsidP="00BE1983">
            <w:pPr>
              <w:tabs>
                <w:tab w:val="right" w:pos="7560"/>
              </w:tabs>
              <w:spacing w:afterLines="30" w:after="72"/>
              <w:rPr>
                <w:szCs w:val="22"/>
              </w:rPr>
            </w:pPr>
            <w:r w:rsidRPr="00BE1983">
              <w:rPr>
                <w:szCs w:val="22"/>
              </w:rPr>
              <w:t>- Ligne de trésorerie consolidable permettant une gestion plus active des flux de trésorerie principalement pour les travaux d’enfouissem</w:t>
            </w:r>
            <w:r w:rsidR="00DF1279">
              <w:rPr>
                <w:szCs w:val="22"/>
              </w:rPr>
              <w:t>ent de réseaux (plafond de</w:t>
            </w:r>
            <w:r w:rsidRPr="00BE1983">
              <w:rPr>
                <w:szCs w:val="22"/>
              </w:rPr>
              <w:t xml:space="preserve"> </w:t>
            </w:r>
            <w:r w:rsidR="00454822">
              <w:rPr>
                <w:szCs w:val="22"/>
              </w:rPr>
              <w:t xml:space="preserve">8 000 000 </w:t>
            </w:r>
            <w:r w:rsidRPr="00BE1983">
              <w:rPr>
                <w:szCs w:val="22"/>
              </w:rPr>
              <w:t>€) également inscrite pour le même montant en recettes. Par ailleurs, est inscrit le r</w:t>
            </w:r>
            <w:r w:rsidR="00DF1279">
              <w:rPr>
                <w:szCs w:val="22"/>
              </w:rPr>
              <w:t>emboursement du capital (</w:t>
            </w:r>
            <w:r w:rsidR="006837FD">
              <w:rPr>
                <w:szCs w:val="22"/>
              </w:rPr>
              <w:t xml:space="preserve">1 240 000 </w:t>
            </w:r>
            <w:r w:rsidR="00070EEA">
              <w:rPr>
                <w:szCs w:val="22"/>
              </w:rPr>
              <w:t>€) relatif aux emprunts du S</w:t>
            </w:r>
            <w:r w:rsidRPr="00BE1983">
              <w:rPr>
                <w:szCs w:val="22"/>
              </w:rPr>
              <w:t xml:space="preserve">yndicat. </w:t>
            </w:r>
            <w:r w:rsidR="00D86D34" w:rsidRPr="00D86D34">
              <w:rPr>
                <w:szCs w:val="22"/>
              </w:rPr>
              <w:t>(</w:t>
            </w:r>
            <w:proofErr w:type="gramStart"/>
            <w:r w:rsidR="00D86D34" w:rsidRPr="00D86D34">
              <w:rPr>
                <w:szCs w:val="22"/>
              </w:rPr>
              <w:t>chapitre</w:t>
            </w:r>
            <w:proofErr w:type="gramEnd"/>
            <w:r w:rsidR="00D86D34" w:rsidRPr="00D86D34">
              <w:rPr>
                <w:szCs w:val="22"/>
              </w:rPr>
              <w:t xml:space="preserve"> 16)</w:t>
            </w:r>
          </w:p>
        </w:tc>
        <w:tc>
          <w:tcPr>
            <w:tcW w:w="2469" w:type="dxa"/>
          </w:tcPr>
          <w:p w:rsidR="00BE1983" w:rsidRPr="00BE1983" w:rsidRDefault="006837FD" w:rsidP="00BE1983">
            <w:pPr>
              <w:spacing w:afterLines="30" w:after="72"/>
              <w:jc w:val="right"/>
              <w:rPr>
                <w:szCs w:val="22"/>
              </w:rPr>
            </w:pPr>
            <w:r>
              <w:rPr>
                <w:szCs w:val="22"/>
              </w:rPr>
              <w:t xml:space="preserve">9 240 000 </w:t>
            </w:r>
            <w:r w:rsidR="00BE1983" w:rsidRPr="00BE1983">
              <w:rPr>
                <w:szCs w:val="22"/>
              </w:rPr>
              <w:t>€</w:t>
            </w:r>
          </w:p>
        </w:tc>
      </w:tr>
      <w:tr w:rsidR="00BE1983" w:rsidRPr="00BE1983" w:rsidTr="00454822">
        <w:tc>
          <w:tcPr>
            <w:tcW w:w="6591" w:type="dxa"/>
          </w:tcPr>
          <w:p w:rsidR="00BE1983" w:rsidRPr="00BE1983" w:rsidRDefault="00BE1983" w:rsidP="00BE1983">
            <w:pPr>
              <w:tabs>
                <w:tab w:val="right" w:pos="7560"/>
              </w:tabs>
              <w:spacing w:afterLines="30" w:after="72"/>
              <w:rPr>
                <w:szCs w:val="22"/>
                <w:highlight w:val="yellow"/>
              </w:rPr>
            </w:pPr>
            <w:r w:rsidRPr="00BE1983">
              <w:rPr>
                <w:szCs w:val="22"/>
              </w:rPr>
              <w:t>- Subventions aux travaux éligibles au Fonds Social Précarité et Efficacité Energétique (FSPEE) en application du traité de concession et de l’article 14 modifié suivant l’avenant n°10 à la convention de partenariat avec EDF et ENEDIS (Ex ERDF) signé le 14 avril 2016. (</w:t>
            </w:r>
            <w:proofErr w:type="gramStart"/>
            <w:r w:rsidRPr="00BE1983">
              <w:rPr>
                <w:szCs w:val="22"/>
              </w:rPr>
              <w:t>chapitre</w:t>
            </w:r>
            <w:proofErr w:type="gramEnd"/>
            <w:r w:rsidRPr="00BE1983">
              <w:rPr>
                <w:szCs w:val="22"/>
              </w:rPr>
              <w:t xml:space="preserve"> 204)</w:t>
            </w:r>
          </w:p>
        </w:tc>
        <w:tc>
          <w:tcPr>
            <w:tcW w:w="2469" w:type="dxa"/>
          </w:tcPr>
          <w:p w:rsidR="00BE1983" w:rsidRPr="00BE1983" w:rsidRDefault="0036171F" w:rsidP="00BE1983">
            <w:pPr>
              <w:spacing w:afterLines="30" w:after="72"/>
              <w:jc w:val="right"/>
              <w:rPr>
                <w:szCs w:val="22"/>
                <w:highlight w:val="yellow"/>
              </w:rPr>
            </w:pPr>
            <w:r>
              <w:rPr>
                <w:szCs w:val="22"/>
              </w:rPr>
              <w:t xml:space="preserve">69 000 </w:t>
            </w:r>
            <w:r w:rsidR="00BE1983" w:rsidRPr="00BE1983">
              <w:rPr>
                <w:szCs w:val="22"/>
              </w:rPr>
              <w:t>€</w:t>
            </w:r>
          </w:p>
        </w:tc>
      </w:tr>
      <w:tr w:rsidR="00BE1983" w:rsidRPr="00BE1983" w:rsidTr="00454822">
        <w:tc>
          <w:tcPr>
            <w:tcW w:w="6591" w:type="dxa"/>
          </w:tcPr>
          <w:p w:rsidR="00BE1983" w:rsidRPr="00BE1983" w:rsidRDefault="00BE1983" w:rsidP="00BE1983">
            <w:pPr>
              <w:spacing w:afterLines="30" w:after="72"/>
              <w:rPr>
                <w:szCs w:val="22"/>
              </w:rPr>
            </w:pPr>
            <w:r w:rsidRPr="00BE1983">
              <w:rPr>
                <w:szCs w:val="22"/>
              </w:rPr>
              <w:t>- Dépenses relatives aux projets de développements du système d’information du syndicat, à l’achat de licences et au renouvellement partiel du parc informatique,</w:t>
            </w:r>
            <w:r w:rsidR="00F24593">
              <w:rPr>
                <w:szCs w:val="22"/>
              </w:rPr>
              <w:t xml:space="preserve"> ainsi que la</w:t>
            </w:r>
            <w:r w:rsidRPr="00BE1983">
              <w:rPr>
                <w:szCs w:val="22"/>
              </w:rPr>
              <w:t xml:space="preserve"> provision de </w:t>
            </w:r>
            <w:r w:rsidR="006610DB" w:rsidRPr="00BE1983">
              <w:rPr>
                <w:szCs w:val="22"/>
              </w:rPr>
              <w:t>dépôts de</w:t>
            </w:r>
            <w:r w:rsidRPr="00BE1983">
              <w:rPr>
                <w:szCs w:val="22"/>
              </w:rPr>
              <w:t xml:space="preserve"> garantie (chapitres 16, 20 et 21)</w:t>
            </w:r>
          </w:p>
        </w:tc>
        <w:tc>
          <w:tcPr>
            <w:tcW w:w="2469" w:type="dxa"/>
          </w:tcPr>
          <w:p w:rsidR="00BE1983" w:rsidRPr="00BE1983" w:rsidRDefault="0036171F" w:rsidP="00BE1983">
            <w:pPr>
              <w:spacing w:afterLines="30" w:after="72"/>
              <w:jc w:val="right"/>
              <w:rPr>
                <w:szCs w:val="22"/>
              </w:rPr>
            </w:pPr>
            <w:r>
              <w:rPr>
                <w:szCs w:val="22"/>
              </w:rPr>
              <w:t xml:space="preserve">902 500 </w:t>
            </w:r>
            <w:r w:rsidR="00BE1983" w:rsidRPr="00BE1983">
              <w:rPr>
                <w:szCs w:val="22"/>
              </w:rPr>
              <w:t>€</w:t>
            </w:r>
          </w:p>
        </w:tc>
      </w:tr>
      <w:tr w:rsidR="00BE1983" w:rsidRPr="00BE1983" w:rsidTr="00454822">
        <w:tc>
          <w:tcPr>
            <w:tcW w:w="6591" w:type="dxa"/>
          </w:tcPr>
          <w:p w:rsidR="00BE1983" w:rsidRPr="00BE1983" w:rsidRDefault="00BE1983" w:rsidP="00BE1983">
            <w:pPr>
              <w:tabs>
                <w:tab w:val="right" w:pos="7560"/>
              </w:tabs>
              <w:spacing w:afterLines="30" w:after="72"/>
              <w:rPr>
                <w:szCs w:val="22"/>
              </w:rPr>
            </w:pPr>
            <w:r w:rsidRPr="00BE1983">
              <w:rPr>
                <w:szCs w:val="22"/>
              </w:rPr>
              <w:t xml:space="preserve">- Dépenses inscrites pour effectuer les transferts au compte de résultat de participations perçues auprès des collectivités </w:t>
            </w:r>
            <w:r w:rsidR="006610DB" w:rsidRPr="00BE1983">
              <w:rPr>
                <w:szCs w:val="22"/>
              </w:rPr>
              <w:t>pour les</w:t>
            </w:r>
            <w:r w:rsidRPr="00BE1983">
              <w:rPr>
                <w:szCs w:val="22"/>
              </w:rPr>
              <w:t xml:space="preserve"> travaux d’installations photovoltaïques, d’enfouissement et de géothermie. (</w:t>
            </w:r>
            <w:proofErr w:type="gramStart"/>
            <w:r w:rsidRPr="00BE1983">
              <w:rPr>
                <w:szCs w:val="22"/>
              </w:rPr>
              <w:t>chapitre</w:t>
            </w:r>
            <w:proofErr w:type="gramEnd"/>
            <w:r w:rsidRPr="00BE1983">
              <w:rPr>
                <w:szCs w:val="22"/>
              </w:rPr>
              <w:t xml:space="preserve"> 040)</w:t>
            </w:r>
          </w:p>
        </w:tc>
        <w:tc>
          <w:tcPr>
            <w:tcW w:w="2469" w:type="dxa"/>
          </w:tcPr>
          <w:p w:rsidR="00BE1983" w:rsidRPr="00BE1983" w:rsidRDefault="00C27F20" w:rsidP="00BE1983">
            <w:pPr>
              <w:tabs>
                <w:tab w:val="right" w:pos="7560"/>
              </w:tabs>
              <w:spacing w:afterLines="30" w:after="72"/>
              <w:jc w:val="right"/>
              <w:rPr>
                <w:szCs w:val="22"/>
              </w:rPr>
            </w:pPr>
            <w:r>
              <w:rPr>
                <w:szCs w:val="22"/>
              </w:rPr>
              <w:t xml:space="preserve">2 500 000 </w:t>
            </w:r>
            <w:r w:rsidR="00BE1983" w:rsidRPr="00BE1983">
              <w:rPr>
                <w:szCs w:val="22"/>
              </w:rPr>
              <w:t>€</w:t>
            </w:r>
          </w:p>
        </w:tc>
      </w:tr>
      <w:tr w:rsidR="00BE1983" w:rsidRPr="00BE1983" w:rsidTr="00454822">
        <w:trPr>
          <w:trHeight w:val="730"/>
        </w:trPr>
        <w:tc>
          <w:tcPr>
            <w:tcW w:w="6591" w:type="dxa"/>
          </w:tcPr>
          <w:p w:rsidR="00BE1983" w:rsidRPr="00BE1983" w:rsidRDefault="00BE1983" w:rsidP="00BE1983">
            <w:pPr>
              <w:tabs>
                <w:tab w:val="right" w:pos="7560"/>
              </w:tabs>
              <w:spacing w:afterLines="30" w:after="72"/>
              <w:rPr>
                <w:szCs w:val="22"/>
                <w:highlight w:val="yellow"/>
              </w:rPr>
            </w:pPr>
            <w:r w:rsidRPr="00BE1983">
              <w:rPr>
                <w:szCs w:val="22"/>
              </w:rPr>
              <w:t>-</w:t>
            </w:r>
            <w:r w:rsidRPr="00BE1983">
              <w:rPr>
                <w:sz w:val="16"/>
                <w:szCs w:val="16"/>
              </w:rPr>
              <w:t xml:space="preserve"> </w:t>
            </w:r>
            <w:r w:rsidRPr="00BE1983">
              <w:rPr>
                <w:szCs w:val="22"/>
              </w:rPr>
              <w:t>Opérations d’ordre patrimoniales relatives aux écritures comptables des travaux d’enfouissement sur le réseau d’électricité pour transfert à l’actif mis en concession. (</w:t>
            </w:r>
            <w:proofErr w:type="gramStart"/>
            <w:r w:rsidRPr="00BE1983">
              <w:rPr>
                <w:szCs w:val="22"/>
              </w:rPr>
              <w:t>chapitre</w:t>
            </w:r>
            <w:proofErr w:type="gramEnd"/>
            <w:r w:rsidRPr="00BE1983">
              <w:rPr>
                <w:szCs w:val="22"/>
              </w:rPr>
              <w:t xml:space="preserve"> 041)</w:t>
            </w:r>
          </w:p>
        </w:tc>
        <w:tc>
          <w:tcPr>
            <w:tcW w:w="2469" w:type="dxa"/>
          </w:tcPr>
          <w:p w:rsidR="00BE1983" w:rsidRPr="00BE1983" w:rsidRDefault="00922C6C" w:rsidP="00BE1983">
            <w:pPr>
              <w:tabs>
                <w:tab w:val="right" w:pos="7560"/>
              </w:tabs>
              <w:spacing w:afterLines="30" w:after="72"/>
              <w:jc w:val="right"/>
              <w:rPr>
                <w:szCs w:val="22"/>
                <w:highlight w:val="yellow"/>
              </w:rPr>
            </w:pPr>
            <w:r>
              <w:rPr>
                <w:szCs w:val="22"/>
              </w:rPr>
              <w:t xml:space="preserve">7 400 000 </w:t>
            </w:r>
            <w:r w:rsidR="00BE1983" w:rsidRPr="00BE1983">
              <w:rPr>
                <w:szCs w:val="22"/>
              </w:rPr>
              <w:t>€</w:t>
            </w:r>
          </w:p>
        </w:tc>
      </w:tr>
    </w:tbl>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0977E9" w:rsidRDefault="000977E9" w:rsidP="000977E9">
      <w:pPr>
        <w:pStyle w:val="Sansinterligne"/>
      </w:pPr>
    </w:p>
    <w:p w:rsidR="00BE1983" w:rsidRPr="00BE1983" w:rsidRDefault="00BE1983" w:rsidP="00BE1983">
      <w:pPr>
        <w:keepNext/>
        <w:tabs>
          <w:tab w:val="num" w:pos="360"/>
        </w:tabs>
        <w:spacing w:before="240" w:after="240"/>
        <w:outlineLvl w:val="0"/>
        <w:rPr>
          <w:rFonts w:cs="Arial"/>
          <w:b/>
          <w:szCs w:val="22"/>
          <w:u w:val="single"/>
        </w:rPr>
      </w:pPr>
      <w:r w:rsidRPr="00BE1983">
        <w:rPr>
          <w:rFonts w:cs="Arial"/>
          <w:b/>
          <w:szCs w:val="22"/>
          <w:u w:val="single"/>
        </w:rPr>
        <w:lastRenderedPageBreak/>
        <w:t xml:space="preserve">2- Section de fonctionnement </w:t>
      </w:r>
    </w:p>
    <w:p w:rsidR="00BE1983" w:rsidRPr="00BE1983" w:rsidRDefault="00BE1983" w:rsidP="00BE1983">
      <w:pPr>
        <w:keepNext/>
        <w:numPr>
          <w:ilvl w:val="1"/>
          <w:numId w:val="0"/>
        </w:numPr>
        <w:tabs>
          <w:tab w:val="num" w:pos="360"/>
        </w:tabs>
        <w:spacing w:before="120" w:after="120"/>
        <w:outlineLvl w:val="1"/>
        <w:rPr>
          <w:rFonts w:cs="Arial"/>
          <w:b/>
          <w:bCs/>
          <w:i/>
          <w:iCs/>
          <w:szCs w:val="22"/>
        </w:rPr>
      </w:pPr>
      <w:r w:rsidRPr="00BE1983">
        <w:rPr>
          <w:rFonts w:cs="Arial"/>
          <w:b/>
          <w:bCs/>
          <w:i/>
          <w:iCs/>
          <w:szCs w:val="22"/>
        </w:rPr>
        <w:t>2.1 Les recettes de la section de fonctionnement :</w:t>
      </w:r>
      <w:r w:rsidRPr="00BE1983">
        <w:rPr>
          <w:rFonts w:cs="Arial"/>
          <w:b/>
          <w:bCs/>
          <w:i/>
          <w:iCs/>
          <w:szCs w:val="22"/>
        </w:rPr>
        <w:tab/>
        <w:t xml:space="preserve">                                </w:t>
      </w:r>
      <w:r w:rsidR="005068DF" w:rsidRPr="005068DF">
        <w:rPr>
          <w:rFonts w:cs="Arial"/>
          <w:b/>
          <w:bCs/>
          <w:i/>
          <w:iCs/>
          <w:szCs w:val="22"/>
        </w:rPr>
        <w:t>110 527 200 €</w:t>
      </w:r>
    </w:p>
    <w:p w:rsidR="00BE1983" w:rsidRPr="00BE1983" w:rsidRDefault="00BE1983" w:rsidP="00BE1983">
      <w:pPr>
        <w:rPr>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3"/>
        <w:gridCol w:w="2467"/>
      </w:tblGrid>
      <w:tr w:rsidR="00BE1983" w:rsidRPr="00BE1983" w:rsidTr="001D6938">
        <w:tc>
          <w:tcPr>
            <w:tcW w:w="6593" w:type="dxa"/>
          </w:tcPr>
          <w:p w:rsidR="00BE1983" w:rsidRPr="00BE1983" w:rsidRDefault="00BE1983" w:rsidP="00BE1983">
            <w:pPr>
              <w:tabs>
                <w:tab w:val="right" w:pos="7560"/>
              </w:tabs>
              <w:spacing w:afterLines="30" w:after="72"/>
              <w:rPr>
                <w:szCs w:val="22"/>
              </w:rPr>
            </w:pPr>
            <w:r w:rsidRPr="00BE1983">
              <w:rPr>
                <w:szCs w:val="22"/>
              </w:rPr>
              <w:t>- Redevance de fonctionnement R1 prévisionnelle. (</w:t>
            </w:r>
            <w:proofErr w:type="gramStart"/>
            <w:r w:rsidRPr="00BE1983">
              <w:rPr>
                <w:szCs w:val="22"/>
              </w:rPr>
              <w:t>chapitre</w:t>
            </w:r>
            <w:proofErr w:type="gramEnd"/>
            <w:r w:rsidRPr="00BE1983">
              <w:rPr>
                <w:szCs w:val="22"/>
              </w:rPr>
              <w:t xml:space="preserve"> 75)</w:t>
            </w:r>
          </w:p>
        </w:tc>
        <w:tc>
          <w:tcPr>
            <w:tcW w:w="2467" w:type="dxa"/>
          </w:tcPr>
          <w:p w:rsidR="00BE1983" w:rsidRPr="00BE1983" w:rsidRDefault="007155DA" w:rsidP="00BE1983">
            <w:pPr>
              <w:tabs>
                <w:tab w:val="right" w:pos="7560"/>
              </w:tabs>
              <w:spacing w:afterLines="30" w:after="72"/>
              <w:jc w:val="right"/>
              <w:rPr>
                <w:szCs w:val="22"/>
              </w:rPr>
            </w:pPr>
            <w:r>
              <w:rPr>
                <w:szCs w:val="22"/>
              </w:rPr>
              <w:t xml:space="preserve">1 800 000 </w:t>
            </w:r>
            <w:r w:rsidR="00BE1983" w:rsidRPr="00BE1983">
              <w:rPr>
                <w:szCs w:val="22"/>
              </w:rPr>
              <w:t>€</w:t>
            </w:r>
          </w:p>
        </w:tc>
      </w:tr>
      <w:tr w:rsidR="00BE1983" w:rsidRPr="00BE1983" w:rsidTr="001D6938">
        <w:tc>
          <w:tcPr>
            <w:tcW w:w="6593" w:type="dxa"/>
          </w:tcPr>
          <w:p w:rsidR="00BE1983" w:rsidRPr="00BE1983" w:rsidRDefault="00BE1983" w:rsidP="00BE1983">
            <w:pPr>
              <w:tabs>
                <w:tab w:val="right" w:pos="7560"/>
              </w:tabs>
              <w:spacing w:afterLines="30" w:after="72"/>
              <w:rPr>
                <w:sz w:val="16"/>
                <w:szCs w:val="16"/>
              </w:rPr>
            </w:pPr>
            <w:r w:rsidRPr="00BE1983">
              <w:rPr>
                <w:szCs w:val="22"/>
              </w:rPr>
              <w:t xml:space="preserve">- Redevance pour occupation du domaine public (RODP) </w:t>
            </w:r>
            <w:r w:rsidR="000977E9" w:rsidRPr="00BE1983">
              <w:rPr>
                <w:szCs w:val="22"/>
              </w:rPr>
              <w:t xml:space="preserve">prévisionnelle </w:t>
            </w:r>
            <w:r w:rsidR="000977E9">
              <w:rPr>
                <w:szCs w:val="22"/>
              </w:rPr>
              <w:t xml:space="preserve">par les réseaux </w:t>
            </w:r>
            <w:r w:rsidRPr="00BE1983">
              <w:rPr>
                <w:szCs w:val="22"/>
              </w:rPr>
              <w:t>d’électricité. (</w:t>
            </w:r>
            <w:proofErr w:type="gramStart"/>
            <w:r w:rsidRPr="00BE1983">
              <w:rPr>
                <w:szCs w:val="22"/>
              </w:rPr>
              <w:t>chapitre</w:t>
            </w:r>
            <w:proofErr w:type="gramEnd"/>
            <w:r w:rsidRPr="00BE1983">
              <w:rPr>
                <w:szCs w:val="22"/>
              </w:rPr>
              <w:t xml:space="preserve"> 75)</w:t>
            </w:r>
          </w:p>
        </w:tc>
        <w:tc>
          <w:tcPr>
            <w:tcW w:w="2467" w:type="dxa"/>
          </w:tcPr>
          <w:p w:rsidR="00BE1983" w:rsidRPr="00BE1983" w:rsidRDefault="00A27811" w:rsidP="00BE1983">
            <w:pPr>
              <w:tabs>
                <w:tab w:val="right" w:pos="7560"/>
              </w:tabs>
              <w:spacing w:afterLines="30" w:after="72"/>
              <w:jc w:val="right"/>
              <w:rPr>
                <w:szCs w:val="22"/>
              </w:rPr>
            </w:pPr>
            <w:r>
              <w:rPr>
                <w:szCs w:val="22"/>
              </w:rPr>
              <w:t xml:space="preserve">8 617 000 </w:t>
            </w:r>
            <w:r w:rsidR="00BE1983" w:rsidRPr="00BE1983">
              <w:rPr>
                <w:szCs w:val="22"/>
              </w:rPr>
              <w:t>€</w:t>
            </w:r>
          </w:p>
          <w:p w:rsidR="00BE1983" w:rsidRPr="00BE1983" w:rsidRDefault="00BE1983" w:rsidP="00BE1983">
            <w:pPr>
              <w:spacing w:afterLines="30" w:after="72"/>
              <w:jc w:val="right"/>
              <w:rPr>
                <w:szCs w:val="22"/>
              </w:rPr>
            </w:pPr>
          </w:p>
        </w:tc>
      </w:tr>
      <w:tr w:rsidR="00BE1983" w:rsidRPr="00BE1983" w:rsidTr="001D6938">
        <w:trPr>
          <w:trHeight w:val="335"/>
        </w:trPr>
        <w:tc>
          <w:tcPr>
            <w:tcW w:w="6593" w:type="dxa"/>
          </w:tcPr>
          <w:p w:rsidR="00BE1983" w:rsidRPr="00BE1983" w:rsidRDefault="00BE1983" w:rsidP="00BE1983">
            <w:pPr>
              <w:tabs>
                <w:tab w:val="right" w:pos="7560"/>
              </w:tabs>
              <w:spacing w:afterLines="30" w:after="72"/>
              <w:rPr>
                <w:sz w:val="16"/>
                <w:szCs w:val="16"/>
              </w:rPr>
            </w:pPr>
            <w:r w:rsidRPr="00BE1983">
              <w:rPr>
                <w:szCs w:val="22"/>
              </w:rPr>
              <w:t>- Redevance R2 prévisionnelle. (</w:t>
            </w:r>
            <w:proofErr w:type="gramStart"/>
            <w:r w:rsidRPr="00BE1983">
              <w:rPr>
                <w:szCs w:val="22"/>
              </w:rPr>
              <w:t>chapitre</w:t>
            </w:r>
            <w:proofErr w:type="gramEnd"/>
            <w:r w:rsidRPr="00BE1983">
              <w:rPr>
                <w:szCs w:val="22"/>
              </w:rPr>
              <w:t xml:space="preserve"> 75)</w:t>
            </w:r>
          </w:p>
        </w:tc>
        <w:tc>
          <w:tcPr>
            <w:tcW w:w="2467" w:type="dxa"/>
          </w:tcPr>
          <w:p w:rsidR="00BE1983" w:rsidRPr="00BE1983" w:rsidRDefault="00810D4C" w:rsidP="00BE1983">
            <w:pPr>
              <w:tabs>
                <w:tab w:val="right" w:pos="7560"/>
              </w:tabs>
              <w:spacing w:afterLines="30" w:after="72"/>
              <w:jc w:val="right"/>
              <w:rPr>
                <w:szCs w:val="22"/>
              </w:rPr>
            </w:pPr>
            <w:r>
              <w:rPr>
                <w:szCs w:val="22"/>
              </w:rPr>
              <w:t xml:space="preserve">6 500 000 </w:t>
            </w:r>
            <w:r w:rsidR="00BE1983" w:rsidRPr="00BE1983">
              <w:rPr>
                <w:szCs w:val="22"/>
              </w:rPr>
              <w:t>€</w:t>
            </w:r>
          </w:p>
        </w:tc>
      </w:tr>
      <w:tr w:rsidR="00BE1983" w:rsidRPr="00BE1983" w:rsidTr="001D6938">
        <w:tc>
          <w:tcPr>
            <w:tcW w:w="6593" w:type="dxa"/>
          </w:tcPr>
          <w:p w:rsidR="00BE1983" w:rsidRPr="00BE1983" w:rsidRDefault="00BE1983" w:rsidP="00BE1983">
            <w:pPr>
              <w:tabs>
                <w:tab w:val="left" w:pos="6255"/>
              </w:tabs>
              <w:spacing w:afterLines="30" w:after="72"/>
              <w:rPr>
                <w:szCs w:val="22"/>
              </w:rPr>
            </w:pPr>
            <w:r w:rsidRPr="00BE1983">
              <w:rPr>
                <w:szCs w:val="22"/>
              </w:rPr>
              <w:t xml:space="preserve">- Fonds de partenariat provisoire (chapitre 75) dont :                                                                                   </w:t>
            </w:r>
          </w:p>
          <w:p w:rsidR="00BE1983" w:rsidRPr="00BE1983" w:rsidRDefault="00BE1983" w:rsidP="00BE1983">
            <w:pPr>
              <w:tabs>
                <w:tab w:val="right" w:pos="7560"/>
              </w:tabs>
              <w:spacing w:afterLines="30" w:after="72"/>
              <w:ind w:left="709"/>
              <w:jc w:val="left"/>
              <w:rPr>
                <w:szCs w:val="22"/>
              </w:rPr>
            </w:pPr>
            <w:r w:rsidRPr="00BE1983">
              <w:rPr>
                <w:szCs w:val="22"/>
              </w:rPr>
              <w:t>- Dotation de base :</w:t>
            </w:r>
            <w:r w:rsidR="00390834">
              <w:rPr>
                <w:szCs w:val="22"/>
              </w:rPr>
              <w:t xml:space="preserve"> 10 720 000</w:t>
            </w:r>
            <w:r w:rsidRPr="00BE1983">
              <w:rPr>
                <w:szCs w:val="22"/>
              </w:rPr>
              <w:t xml:space="preserve"> €</w:t>
            </w:r>
          </w:p>
          <w:p w:rsidR="00BE1983" w:rsidRPr="00BE1983" w:rsidRDefault="00BE1983" w:rsidP="00BE1983">
            <w:pPr>
              <w:tabs>
                <w:tab w:val="right" w:pos="7560"/>
              </w:tabs>
              <w:spacing w:afterLines="30" w:after="72"/>
              <w:ind w:left="709"/>
              <w:jc w:val="left"/>
              <w:rPr>
                <w:szCs w:val="22"/>
              </w:rPr>
            </w:pPr>
            <w:r w:rsidRPr="00BE1983">
              <w:rPr>
                <w:szCs w:val="22"/>
              </w:rPr>
              <w:t>- A</w:t>
            </w:r>
            <w:r w:rsidR="00390834">
              <w:rPr>
                <w:szCs w:val="22"/>
              </w:rPr>
              <w:t xml:space="preserve">ctualisation </w:t>
            </w:r>
            <w:r w:rsidRPr="00BE1983">
              <w:rPr>
                <w:szCs w:val="22"/>
              </w:rPr>
              <w:t xml:space="preserve">: </w:t>
            </w:r>
            <w:r w:rsidRPr="00BE1983">
              <w:rPr>
                <w:sz w:val="20"/>
              </w:rPr>
              <w:t xml:space="preserve">     </w:t>
            </w:r>
            <w:r w:rsidR="00390834">
              <w:rPr>
                <w:sz w:val="20"/>
              </w:rPr>
              <w:t xml:space="preserve">        </w:t>
            </w:r>
            <w:r w:rsidR="00390834" w:rsidRPr="00390834">
              <w:rPr>
                <w:szCs w:val="22"/>
              </w:rPr>
              <w:t>127 000</w:t>
            </w:r>
            <w:r w:rsidRPr="00390834">
              <w:rPr>
                <w:szCs w:val="22"/>
              </w:rPr>
              <w:t xml:space="preserve"> €</w:t>
            </w:r>
          </w:p>
        </w:tc>
        <w:tc>
          <w:tcPr>
            <w:tcW w:w="2467" w:type="dxa"/>
          </w:tcPr>
          <w:p w:rsidR="00BE1983" w:rsidRPr="00BE1983" w:rsidRDefault="00390834" w:rsidP="00BE1983">
            <w:pPr>
              <w:tabs>
                <w:tab w:val="left" w:pos="6255"/>
              </w:tabs>
              <w:spacing w:afterLines="30" w:after="72"/>
              <w:jc w:val="right"/>
              <w:rPr>
                <w:szCs w:val="22"/>
              </w:rPr>
            </w:pPr>
            <w:r>
              <w:rPr>
                <w:szCs w:val="22"/>
              </w:rPr>
              <w:t xml:space="preserve">10 847 000 </w:t>
            </w:r>
            <w:r w:rsidR="00BE1983" w:rsidRPr="00BE1983">
              <w:rPr>
                <w:szCs w:val="22"/>
              </w:rPr>
              <w:t xml:space="preserve">€ </w:t>
            </w:r>
          </w:p>
          <w:p w:rsidR="00BE1983" w:rsidRPr="00BE1983" w:rsidRDefault="00BE1983" w:rsidP="00BE1983">
            <w:pPr>
              <w:spacing w:afterLines="30" w:after="72"/>
              <w:jc w:val="right"/>
              <w:rPr>
                <w:szCs w:val="22"/>
              </w:rPr>
            </w:pPr>
          </w:p>
        </w:tc>
      </w:tr>
      <w:tr w:rsidR="00BE1983" w:rsidRPr="00BE1983" w:rsidTr="001D6938">
        <w:tc>
          <w:tcPr>
            <w:tcW w:w="6593" w:type="dxa"/>
          </w:tcPr>
          <w:p w:rsidR="00BE1983" w:rsidRPr="00BE1983" w:rsidRDefault="00BE1983" w:rsidP="00BE1983">
            <w:pPr>
              <w:tabs>
                <w:tab w:val="right" w:pos="7560"/>
              </w:tabs>
              <w:spacing w:afterLines="30" w:after="72"/>
              <w:jc w:val="left"/>
              <w:rPr>
                <w:szCs w:val="22"/>
              </w:rPr>
            </w:pPr>
            <w:r w:rsidRPr="00BE1983">
              <w:rPr>
                <w:szCs w:val="22"/>
              </w:rPr>
              <w:t>- Fonds Social Précarité et Efficacité Energétique (FSPEE).</w:t>
            </w:r>
          </w:p>
          <w:p w:rsidR="00BE1983" w:rsidRPr="00BE1983" w:rsidRDefault="00BE1983" w:rsidP="00BE1983">
            <w:pPr>
              <w:tabs>
                <w:tab w:val="right" w:pos="7560"/>
              </w:tabs>
              <w:spacing w:afterLines="30" w:after="72"/>
              <w:jc w:val="left"/>
              <w:rPr>
                <w:szCs w:val="22"/>
              </w:rPr>
            </w:pPr>
            <w:r w:rsidRPr="00BE1983">
              <w:rPr>
                <w:szCs w:val="22"/>
              </w:rPr>
              <w:t>(</w:t>
            </w:r>
            <w:proofErr w:type="gramStart"/>
            <w:r w:rsidRPr="00BE1983">
              <w:rPr>
                <w:szCs w:val="22"/>
              </w:rPr>
              <w:t>chapitre</w:t>
            </w:r>
            <w:proofErr w:type="gramEnd"/>
            <w:r w:rsidRPr="00BE1983">
              <w:rPr>
                <w:szCs w:val="22"/>
              </w:rPr>
              <w:t xml:space="preserve"> 75) </w:t>
            </w:r>
          </w:p>
        </w:tc>
        <w:tc>
          <w:tcPr>
            <w:tcW w:w="2467" w:type="dxa"/>
          </w:tcPr>
          <w:p w:rsidR="00BE1983" w:rsidRPr="00BE1983" w:rsidRDefault="006869E8" w:rsidP="00BE1983">
            <w:pPr>
              <w:tabs>
                <w:tab w:val="right" w:pos="7560"/>
              </w:tabs>
              <w:spacing w:afterLines="30" w:after="72"/>
              <w:ind w:firstLine="360"/>
              <w:jc w:val="right"/>
              <w:rPr>
                <w:szCs w:val="22"/>
              </w:rPr>
            </w:pPr>
            <w:r>
              <w:rPr>
                <w:szCs w:val="22"/>
              </w:rPr>
              <w:t xml:space="preserve">375 000 </w:t>
            </w:r>
            <w:r w:rsidR="00BE1983" w:rsidRPr="00BE1983">
              <w:rPr>
                <w:szCs w:val="22"/>
              </w:rPr>
              <w:t xml:space="preserve">€ </w:t>
            </w:r>
          </w:p>
        </w:tc>
      </w:tr>
      <w:tr w:rsidR="00BE1983" w:rsidRPr="00BE1983" w:rsidTr="001D6938">
        <w:tc>
          <w:tcPr>
            <w:tcW w:w="6593" w:type="dxa"/>
          </w:tcPr>
          <w:p w:rsidR="00BE1983" w:rsidRPr="00BE1983" w:rsidRDefault="00BE1983" w:rsidP="00BE1983">
            <w:pPr>
              <w:tabs>
                <w:tab w:val="right" w:pos="7560"/>
              </w:tabs>
              <w:spacing w:afterLines="30" w:after="72"/>
              <w:rPr>
                <w:szCs w:val="22"/>
              </w:rPr>
            </w:pPr>
            <w:r w:rsidRPr="00BE1983">
              <w:rPr>
                <w:szCs w:val="22"/>
              </w:rPr>
              <w:t>- Participations, cotisations et frais de maîtrise d’ouvrage des collectivités pour :</w:t>
            </w:r>
          </w:p>
          <w:p w:rsidR="00BE1983" w:rsidRPr="00BE1983" w:rsidRDefault="00BE1983" w:rsidP="00BE1983">
            <w:pPr>
              <w:tabs>
                <w:tab w:val="right" w:pos="7560"/>
              </w:tabs>
              <w:spacing w:afterLines="30" w:after="72"/>
              <w:ind w:left="226" w:hanging="113"/>
              <w:rPr>
                <w:szCs w:val="22"/>
              </w:rPr>
            </w:pPr>
            <w:r w:rsidRPr="00BE1983">
              <w:rPr>
                <w:szCs w:val="22"/>
              </w:rPr>
              <w:t>- les travaux d’enfouissement des réseaux autres que ceux d’électricité et frais de maîtrise d’ouvrage (</w:t>
            </w:r>
            <w:r w:rsidR="00BB43E1">
              <w:rPr>
                <w:szCs w:val="22"/>
              </w:rPr>
              <w:t xml:space="preserve">15 515 600 </w:t>
            </w:r>
            <w:r w:rsidRPr="00BE1983">
              <w:rPr>
                <w:szCs w:val="22"/>
              </w:rPr>
              <w:t>€), (chapitres 70, 74, 76 et 77)</w:t>
            </w:r>
          </w:p>
          <w:p w:rsidR="00BE1983" w:rsidRPr="00BE1983" w:rsidRDefault="00BE1983" w:rsidP="00BE1983">
            <w:pPr>
              <w:tabs>
                <w:tab w:val="right" w:pos="7560"/>
              </w:tabs>
              <w:spacing w:afterLines="30" w:after="72"/>
              <w:ind w:left="226" w:hanging="113"/>
              <w:jc w:val="left"/>
              <w:rPr>
                <w:szCs w:val="22"/>
              </w:rPr>
            </w:pPr>
            <w:r w:rsidRPr="00BE1983">
              <w:rPr>
                <w:szCs w:val="22"/>
              </w:rPr>
              <w:t>-  la réfection des toitures effectuées lors de pose d’installations photovoltaïques (</w:t>
            </w:r>
            <w:r w:rsidR="00BB43E1">
              <w:rPr>
                <w:szCs w:val="22"/>
              </w:rPr>
              <w:t>242 000 €), (chapitre</w:t>
            </w:r>
            <w:r w:rsidRPr="00BE1983">
              <w:rPr>
                <w:szCs w:val="22"/>
              </w:rPr>
              <w:t xml:space="preserve"> 7</w:t>
            </w:r>
            <w:r w:rsidR="00BB43E1">
              <w:rPr>
                <w:szCs w:val="22"/>
              </w:rPr>
              <w:t>0</w:t>
            </w:r>
            <w:r w:rsidRPr="00BE1983">
              <w:rPr>
                <w:szCs w:val="22"/>
              </w:rPr>
              <w:t>)</w:t>
            </w:r>
          </w:p>
          <w:p w:rsidR="00BE1983" w:rsidRPr="00BE1983" w:rsidRDefault="00BE1983" w:rsidP="00BE1983">
            <w:pPr>
              <w:tabs>
                <w:tab w:val="right" w:pos="7560"/>
              </w:tabs>
              <w:spacing w:afterLines="30" w:after="72"/>
              <w:ind w:left="226" w:hanging="113"/>
              <w:rPr>
                <w:szCs w:val="22"/>
              </w:rPr>
            </w:pPr>
            <w:r w:rsidRPr="00BE1983">
              <w:rPr>
                <w:szCs w:val="22"/>
              </w:rPr>
              <w:t>- la vente de l’électricité produite par les installations photovoltaïques (</w:t>
            </w:r>
            <w:r w:rsidR="00BB43E1">
              <w:rPr>
                <w:szCs w:val="22"/>
              </w:rPr>
              <w:t xml:space="preserve">732 000 </w:t>
            </w:r>
            <w:r w:rsidRPr="00BE1983">
              <w:rPr>
                <w:szCs w:val="22"/>
              </w:rPr>
              <w:t>€). (</w:t>
            </w:r>
            <w:proofErr w:type="gramStart"/>
            <w:r w:rsidRPr="00BE1983">
              <w:rPr>
                <w:szCs w:val="22"/>
              </w:rPr>
              <w:t>chapitre</w:t>
            </w:r>
            <w:r w:rsidR="00BB43E1">
              <w:rPr>
                <w:szCs w:val="22"/>
              </w:rPr>
              <w:t>s</w:t>
            </w:r>
            <w:proofErr w:type="gramEnd"/>
            <w:r w:rsidRPr="00BE1983">
              <w:rPr>
                <w:szCs w:val="22"/>
              </w:rPr>
              <w:t xml:space="preserve"> 70</w:t>
            </w:r>
            <w:r w:rsidR="00BB43E1">
              <w:rPr>
                <w:szCs w:val="22"/>
              </w:rPr>
              <w:t xml:space="preserve"> et 77</w:t>
            </w:r>
            <w:r w:rsidRPr="00BE1983">
              <w:rPr>
                <w:szCs w:val="22"/>
              </w:rPr>
              <w:t xml:space="preserve">) </w:t>
            </w:r>
          </w:p>
          <w:p w:rsidR="00BE1983" w:rsidRPr="00BE1983" w:rsidRDefault="00BE1983" w:rsidP="00BE1983">
            <w:pPr>
              <w:tabs>
                <w:tab w:val="right" w:pos="7560"/>
              </w:tabs>
              <w:spacing w:afterLines="30" w:after="72"/>
              <w:ind w:left="226" w:hanging="113"/>
              <w:rPr>
                <w:szCs w:val="22"/>
                <w:highlight w:val="yellow"/>
              </w:rPr>
            </w:pPr>
            <w:r w:rsidRPr="00BE1983">
              <w:rPr>
                <w:szCs w:val="22"/>
              </w:rPr>
              <w:t>- la cotisation aux frais de fonctionnement des installations photovoltaïques dont le produit de la vente d’électricité bénéficie aux</w:t>
            </w:r>
            <w:r w:rsidR="00BB43E1">
              <w:rPr>
                <w:szCs w:val="22"/>
              </w:rPr>
              <w:t xml:space="preserve"> collectivités (148 000 €). (</w:t>
            </w:r>
            <w:proofErr w:type="gramStart"/>
            <w:r w:rsidR="00BB43E1">
              <w:rPr>
                <w:szCs w:val="22"/>
              </w:rPr>
              <w:t>chapitre</w:t>
            </w:r>
            <w:proofErr w:type="gramEnd"/>
            <w:r w:rsidR="00BB43E1">
              <w:rPr>
                <w:szCs w:val="22"/>
              </w:rPr>
              <w:t xml:space="preserve"> 74</w:t>
            </w:r>
            <w:r w:rsidRPr="00BE1983">
              <w:rPr>
                <w:szCs w:val="22"/>
              </w:rPr>
              <w:t>)</w:t>
            </w:r>
          </w:p>
        </w:tc>
        <w:tc>
          <w:tcPr>
            <w:tcW w:w="2467" w:type="dxa"/>
            <w:shd w:val="clear" w:color="auto" w:fill="auto"/>
          </w:tcPr>
          <w:p w:rsidR="00BE1983" w:rsidRPr="00BE1983" w:rsidRDefault="00F5067C" w:rsidP="00BE1983">
            <w:pPr>
              <w:tabs>
                <w:tab w:val="right" w:pos="7560"/>
              </w:tabs>
              <w:spacing w:afterLines="30" w:after="72"/>
              <w:jc w:val="right"/>
              <w:rPr>
                <w:szCs w:val="22"/>
              </w:rPr>
            </w:pPr>
            <w:r>
              <w:rPr>
                <w:szCs w:val="22"/>
              </w:rPr>
              <w:t>16</w:t>
            </w:r>
            <w:r w:rsidR="00D653CE">
              <w:rPr>
                <w:szCs w:val="22"/>
              </w:rPr>
              <w:t> </w:t>
            </w:r>
            <w:r>
              <w:rPr>
                <w:szCs w:val="22"/>
              </w:rPr>
              <w:t>637</w:t>
            </w:r>
            <w:r w:rsidR="00D653CE">
              <w:rPr>
                <w:szCs w:val="22"/>
              </w:rPr>
              <w:t xml:space="preserve"> 600 </w:t>
            </w:r>
            <w:r w:rsidR="00BE1983" w:rsidRPr="00BE1983">
              <w:rPr>
                <w:szCs w:val="22"/>
              </w:rPr>
              <w:t>€</w:t>
            </w:r>
          </w:p>
          <w:p w:rsidR="00BE1983" w:rsidRPr="00BE1983" w:rsidRDefault="00BE1983" w:rsidP="00BE1983">
            <w:pPr>
              <w:spacing w:afterLines="30" w:after="72"/>
              <w:jc w:val="right"/>
              <w:rPr>
                <w:szCs w:val="22"/>
              </w:rPr>
            </w:pPr>
          </w:p>
        </w:tc>
      </w:tr>
      <w:tr w:rsidR="00BE1983" w:rsidRPr="00BE1983" w:rsidTr="001D6938">
        <w:tc>
          <w:tcPr>
            <w:tcW w:w="6593" w:type="dxa"/>
          </w:tcPr>
          <w:p w:rsidR="00BE1983" w:rsidRPr="00BE1983" w:rsidRDefault="00BE1983" w:rsidP="00BE1983">
            <w:pPr>
              <w:tabs>
                <w:tab w:val="right" w:pos="7560"/>
              </w:tabs>
              <w:spacing w:afterLines="30" w:after="72"/>
              <w:rPr>
                <w:szCs w:val="22"/>
              </w:rPr>
            </w:pPr>
            <w:r w:rsidRPr="00BE1983">
              <w:rPr>
                <w:szCs w:val="22"/>
              </w:rPr>
              <w:t xml:space="preserve">- Collecte de la </w:t>
            </w:r>
            <w:bookmarkStart w:id="2" w:name="OLE_LINK3"/>
            <w:bookmarkStart w:id="3" w:name="OLE_LINK4"/>
            <w:r w:rsidRPr="00BE1983">
              <w:rPr>
                <w:szCs w:val="22"/>
              </w:rPr>
              <w:t xml:space="preserve">Taxe Communale sur la Consommation Finale d’électricité (TCCFE) </w:t>
            </w:r>
            <w:bookmarkEnd w:id="2"/>
            <w:bookmarkEnd w:id="3"/>
            <w:r w:rsidRPr="00BE1983">
              <w:rPr>
                <w:szCs w:val="22"/>
              </w:rPr>
              <w:t xml:space="preserve">pour reversement </w:t>
            </w:r>
            <w:proofErr w:type="gramStart"/>
            <w:r w:rsidRPr="00BE1983">
              <w:rPr>
                <w:szCs w:val="22"/>
              </w:rPr>
              <w:t>aux communes membres</w:t>
            </w:r>
            <w:proofErr w:type="gramEnd"/>
            <w:r w:rsidRPr="00BE1983">
              <w:rPr>
                <w:szCs w:val="22"/>
              </w:rPr>
              <w:t xml:space="preserve"> de la compétence électricité du SIPPEREC. (</w:t>
            </w:r>
            <w:proofErr w:type="gramStart"/>
            <w:r w:rsidRPr="00BE1983">
              <w:rPr>
                <w:szCs w:val="22"/>
              </w:rPr>
              <w:t>chapitre</w:t>
            </w:r>
            <w:proofErr w:type="gramEnd"/>
            <w:r w:rsidRPr="00BE1983">
              <w:rPr>
                <w:szCs w:val="22"/>
              </w:rPr>
              <w:t xml:space="preserve"> 73)</w:t>
            </w:r>
          </w:p>
        </w:tc>
        <w:tc>
          <w:tcPr>
            <w:tcW w:w="2467" w:type="dxa"/>
          </w:tcPr>
          <w:p w:rsidR="00BE1983" w:rsidRPr="00BE1983" w:rsidRDefault="00F71889" w:rsidP="00BE1983">
            <w:pPr>
              <w:tabs>
                <w:tab w:val="right" w:pos="7560"/>
              </w:tabs>
              <w:spacing w:afterLines="30" w:after="72"/>
              <w:jc w:val="right"/>
              <w:rPr>
                <w:szCs w:val="22"/>
              </w:rPr>
            </w:pPr>
            <w:r>
              <w:rPr>
                <w:szCs w:val="22"/>
              </w:rPr>
              <w:t xml:space="preserve">54 150 000 </w:t>
            </w:r>
            <w:r w:rsidR="00BE1983" w:rsidRPr="00BE1983">
              <w:rPr>
                <w:szCs w:val="22"/>
              </w:rPr>
              <w:t>€</w:t>
            </w:r>
          </w:p>
          <w:p w:rsidR="00BE1983" w:rsidRPr="00BE1983" w:rsidRDefault="00BE1983" w:rsidP="00BE1983">
            <w:pPr>
              <w:spacing w:afterLines="30" w:after="72"/>
              <w:jc w:val="right"/>
              <w:rPr>
                <w:szCs w:val="22"/>
              </w:rPr>
            </w:pPr>
          </w:p>
        </w:tc>
      </w:tr>
      <w:tr w:rsidR="00BE1983" w:rsidRPr="00BE1983" w:rsidTr="001D6938">
        <w:trPr>
          <w:trHeight w:val="381"/>
        </w:trPr>
        <w:tc>
          <w:tcPr>
            <w:tcW w:w="6593" w:type="dxa"/>
          </w:tcPr>
          <w:p w:rsidR="00BE1983" w:rsidRPr="00BE1983" w:rsidRDefault="00BE1983" w:rsidP="00BE1983">
            <w:pPr>
              <w:tabs>
                <w:tab w:val="right" w:pos="7560"/>
              </w:tabs>
              <w:spacing w:afterLines="30" w:after="72"/>
              <w:rPr>
                <w:szCs w:val="22"/>
              </w:rPr>
            </w:pPr>
            <w:r w:rsidRPr="00BE1983">
              <w:rPr>
                <w:szCs w:val="22"/>
              </w:rPr>
              <w:t>- Vente de certificats d’économie d’énergie (chapitre 77)</w:t>
            </w:r>
          </w:p>
        </w:tc>
        <w:tc>
          <w:tcPr>
            <w:tcW w:w="2467" w:type="dxa"/>
          </w:tcPr>
          <w:p w:rsidR="00BE1983" w:rsidRPr="00BE1983" w:rsidRDefault="00F71889" w:rsidP="00BE1983">
            <w:pPr>
              <w:tabs>
                <w:tab w:val="right" w:pos="7560"/>
              </w:tabs>
              <w:spacing w:afterLines="30" w:after="72"/>
              <w:jc w:val="right"/>
              <w:rPr>
                <w:szCs w:val="22"/>
              </w:rPr>
            </w:pPr>
            <w:r>
              <w:rPr>
                <w:szCs w:val="22"/>
              </w:rPr>
              <w:t xml:space="preserve">708 000 </w:t>
            </w:r>
            <w:r w:rsidR="00BE1983" w:rsidRPr="00BE1983">
              <w:rPr>
                <w:szCs w:val="22"/>
              </w:rPr>
              <w:t>€</w:t>
            </w:r>
          </w:p>
        </w:tc>
      </w:tr>
      <w:tr w:rsidR="00BE1983" w:rsidRPr="00BE1983" w:rsidTr="001D6938">
        <w:tc>
          <w:tcPr>
            <w:tcW w:w="6593" w:type="dxa"/>
          </w:tcPr>
          <w:p w:rsidR="00BE1983" w:rsidRPr="00BE1983" w:rsidRDefault="00BE1983" w:rsidP="00BE1983">
            <w:pPr>
              <w:tabs>
                <w:tab w:val="right" w:pos="7560"/>
              </w:tabs>
              <w:spacing w:afterLines="30" w:after="72"/>
              <w:rPr>
                <w:szCs w:val="22"/>
              </w:rPr>
            </w:pPr>
            <w:r w:rsidRPr="00BE1983">
              <w:rPr>
                <w:szCs w:val="22"/>
              </w:rPr>
              <w:t xml:space="preserve">- Frais de contrôle des délégations de service public Télécom pour </w:t>
            </w:r>
            <w:proofErr w:type="spellStart"/>
            <w:r w:rsidRPr="00BE1983">
              <w:rPr>
                <w:szCs w:val="22"/>
              </w:rPr>
              <w:t>Europ’Essonne</w:t>
            </w:r>
            <w:proofErr w:type="spellEnd"/>
            <w:r w:rsidRPr="00BE1983">
              <w:rPr>
                <w:szCs w:val="22"/>
              </w:rPr>
              <w:t xml:space="preserve">, Irisé, les réseaux de communications </w:t>
            </w:r>
            <w:proofErr w:type="spellStart"/>
            <w:r w:rsidRPr="00BE1983">
              <w:rPr>
                <w:szCs w:val="22"/>
              </w:rPr>
              <w:t>Sequantic</w:t>
            </w:r>
            <w:proofErr w:type="spellEnd"/>
            <w:r w:rsidRPr="00BE1983">
              <w:rPr>
                <w:szCs w:val="22"/>
              </w:rPr>
              <w:t xml:space="preserve"> et les réseaux câblés. (</w:t>
            </w:r>
            <w:proofErr w:type="gramStart"/>
            <w:r w:rsidRPr="00BE1983">
              <w:rPr>
                <w:szCs w:val="22"/>
              </w:rPr>
              <w:t>chapitres</w:t>
            </w:r>
            <w:proofErr w:type="gramEnd"/>
            <w:r w:rsidRPr="00BE1983">
              <w:rPr>
                <w:szCs w:val="22"/>
              </w:rPr>
              <w:t xml:space="preserve"> 70 et 75)</w:t>
            </w:r>
          </w:p>
        </w:tc>
        <w:tc>
          <w:tcPr>
            <w:tcW w:w="2467" w:type="dxa"/>
          </w:tcPr>
          <w:p w:rsidR="00BE1983" w:rsidRPr="00BE1983" w:rsidRDefault="00F71889" w:rsidP="00BE1983">
            <w:pPr>
              <w:tabs>
                <w:tab w:val="right" w:pos="7560"/>
              </w:tabs>
              <w:spacing w:afterLines="30" w:after="72"/>
              <w:jc w:val="right"/>
              <w:rPr>
                <w:szCs w:val="22"/>
              </w:rPr>
            </w:pPr>
            <w:r>
              <w:rPr>
                <w:szCs w:val="22"/>
              </w:rPr>
              <w:t xml:space="preserve">1 420 000 </w:t>
            </w:r>
            <w:r w:rsidR="00BE1983" w:rsidRPr="00BE1983">
              <w:rPr>
                <w:szCs w:val="22"/>
              </w:rPr>
              <w:t>€</w:t>
            </w:r>
          </w:p>
          <w:p w:rsidR="00BE1983" w:rsidRPr="00BE1983" w:rsidRDefault="00BE1983" w:rsidP="00BE1983">
            <w:pPr>
              <w:spacing w:afterLines="30" w:after="72"/>
              <w:jc w:val="right"/>
              <w:rPr>
                <w:szCs w:val="22"/>
              </w:rPr>
            </w:pPr>
          </w:p>
        </w:tc>
      </w:tr>
      <w:tr w:rsidR="00BE1983" w:rsidRPr="00BE1983" w:rsidTr="001D6938">
        <w:tc>
          <w:tcPr>
            <w:tcW w:w="6593" w:type="dxa"/>
          </w:tcPr>
          <w:p w:rsidR="00BE1983" w:rsidRPr="00BE1983" w:rsidRDefault="00BE1983" w:rsidP="00BE1983">
            <w:pPr>
              <w:tabs>
                <w:tab w:val="right" w:pos="7560"/>
              </w:tabs>
              <w:spacing w:afterLines="30" w:after="72"/>
              <w:rPr>
                <w:szCs w:val="22"/>
              </w:rPr>
            </w:pPr>
            <w:r w:rsidRPr="00BE1983">
              <w:rPr>
                <w:szCs w:val="22"/>
              </w:rPr>
              <w:t>- Frais de contrôle, redevance d’occupation du domaine public, fonds chèques chaleur et remboursement par les délégataires des garanties souscrites par le syndicat pour les forages dans le cadre</w:t>
            </w:r>
            <w:r w:rsidR="00BD7026">
              <w:rPr>
                <w:szCs w:val="22"/>
              </w:rPr>
              <w:t xml:space="preserve"> des DSP relatives aux réseaux</w:t>
            </w:r>
            <w:r w:rsidRPr="00BE1983">
              <w:rPr>
                <w:szCs w:val="22"/>
              </w:rPr>
              <w:t xml:space="preserve"> de géothermie des communes d’Arcueil et Gentilly, Bagneux</w:t>
            </w:r>
            <w:r w:rsidRPr="00BE1983">
              <w:rPr>
                <w:rFonts w:cs="Arial"/>
                <w:szCs w:val="22"/>
              </w:rPr>
              <w:t xml:space="preserve"> et Châtillon</w:t>
            </w:r>
            <w:r w:rsidRPr="00BE1983">
              <w:rPr>
                <w:szCs w:val="22"/>
              </w:rPr>
              <w:t>, Rosny</w:t>
            </w:r>
            <w:r w:rsidRPr="00BE1983">
              <w:rPr>
                <w:rFonts w:cs="Arial"/>
                <w:szCs w:val="22"/>
              </w:rPr>
              <w:t>-sous-Bois et Noisy-le-Sec</w:t>
            </w:r>
            <w:r w:rsidRPr="00BE1983">
              <w:rPr>
                <w:szCs w:val="22"/>
              </w:rPr>
              <w:t>, Grigny et Viry-Châtillon.  (</w:t>
            </w:r>
            <w:proofErr w:type="gramStart"/>
            <w:r w:rsidRPr="00BE1983">
              <w:rPr>
                <w:szCs w:val="22"/>
              </w:rPr>
              <w:t>chapitre</w:t>
            </w:r>
            <w:proofErr w:type="gramEnd"/>
            <w:r w:rsidRPr="00BE1983">
              <w:rPr>
                <w:szCs w:val="22"/>
              </w:rPr>
              <w:t xml:space="preserve"> 75)</w:t>
            </w:r>
          </w:p>
        </w:tc>
        <w:tc>
          <w:tcPr>
            <w:tcW w:w="2467" w:type="dxa"/>
          </w:tcPr>
          <w:p w:rsidR="00BE1983" w:rsidRPr="00BE1983" w:rsidRDefault="0051776B" w:rsidP="00BE1983">
            <w:pPr>
              <w:tabs>
                <w:tab w:val="right" w:pos="7560"/>
              </w:tabs>
              <w:spacing w:afterLines="30" w:after="72"/>
              <w:jc w:val="right"/>
              <w:rPr>
                <w:szCs w:val="22"/>
              </w:rPr>
            </w:pPr>
            <w:r>
              <w:rPr>
                <w:szCs w:val="22"/>
              </w:rPr>
              <w:t>1 337</w:t>
            </w:r>
            <w:r w:rsidR="00CD33C9">
              <w:rPr>
                <w:szCs w:val="22"/>
              </w:rPr>
              <w:t xml:space="preserve"> 800 </w:t>
            </w:r>
            <w:r w:rsidR="00BE1983" w:rsidRPr="00BE1983">
              <w:rPr>
                <w:szCs w:val="22"/>
              </w:rPr>
              <w:t>€</w:t>
            </w:r>
          </w:p>
        </w:tc>
      </w:tr>
      <w:tr w:rsidR="00BE1983" w:rsidRPr="00BE1983" w:rsidTr="001D6938">
        <w:tc>
          <w:tcPr>
            <w:tcW w:w="6593" w:type="dxa"/>
          </w:tcPr>
          <w:p w:rsidR="00BE1983" w:rsidRPr="00BE1983" w:rsidRDefault="00BE1983" w:rsidP="00BE1983">
            <w:pPr>
              <w:tabs>
                <w:tab w:val="right" w:pos="7560"/>
              </w:tabs>
              <w:spacing w:afterLines="30" w:after="72"/>
              <w:rPr>
                <w:szCs w:val="22"/>
              </w:rPr>
            </w:pPr>
            <w:r w:rsidRPr="00BE1983">
              <w:rPr>
                <w:szCs w:val="22"/>
              </w:rPr>
              <w:t xml:space="preserve">- Redevance d’occupation </w:t>
            </w:r>
            <w:r w:rsidR="00BD7026">
              <w:rPr>
                <w:szCs w:val="22"/>
              </w:rPr>
              <w:t>du domaine public (RODP)</w:t>
            </w:r>
            <w:r w:rsidRPr="00BE1983">
              <w:rPr>
                <w:szCs w:val="22"/>
              </w:rPr>
              <w:t xml:space="preserve"> acquittées par les opérateurs de télécommunications et les concessionnaires du réseau de fibre noire, des réseaux câblés plaques nord et sud. (</w:t>
            </w:r>
            <w:proofErr w:type="gramStart"/>
            <w:r w:rsidRPr="00BE1983">
              <w:rPr>
                <w:szCs w:val="22"/>
              </w:rPr>
              <w:t>chapitre</w:t>
            </w:r>
            <w:proofErr w:type="gramEnd"/>
            <w:r w:rsidRPr="00BE1983">
              <w:rPr>
                <w:szCs w:val="22"/>
              </w:rPr>
              <w:t xml:space="preserve"> 75)</w:t>
            </w:r>
          </w:p>
        </w:tc>
        <w:tc>
          <w:tcPr>
            <w:tcW w:w="2467" w:type="dxa"/>
          </w:tcPr>
          <w:p w:rsidR="00BE1983" w:rsidRPr="00BE1983" w:rsidRDefault="001953C2" w:rsidP="00BE1983">
            <w:pPr>
              <w:tabs>
                <w:tab w:val="right" w:pos="7560"/>
              </w:tabs>
              <w:spacing w:afterLines="30" w:after="72"/>
              <w:jc w:val="right"/>
              <w:rPr>
                <w:szCs w:val="22"/>
              </w:rPr>
            </w:pPr>
            <w:r>
              <w:rPr>
                <w:szCs w:val="22"/>
              </w:rPr>
              <w:t xml:space="preserve">1 817 000 </w:t>
            </w:r>
            <w:r w:rsidR="00BE1983" w:rsidRPr="00BE1983">
              <w:rPr>
                <w:szCs w:val="22"/>
              </w:rPr>
              <w:t>€</w:t>
            </w:r>
          </w:p>
          <w:p w:rsidR="00BE1983" w:rsidRPr="00BE1983" w:rsidRDefault="00BE1983" w:rsidP="00BE1983">
            <w:pPr>
              <w:spacing w:afterLines="30" w:after="72"/>
              <w:jc w:val="right"/>
              <w:rPr>
                <w:szCs w:val="22"/>
              </w:rPr>
            </w:pPr>
          </w:p>
        </w:tc>
      </w:tr>
      <w:tr w:rsidR="00BE1983" w:rsidRPr="00BE1983" w:rsidTr="001D6938">
        <w:tc>
          <w:tcPr>
            <w:tcW w:w="6593" w:type="dxa"/>
          </w:tcPr>
          <w:p w:rsidR="00BE1983" w:rsidRPr="00BE1983" w:rsidRDefault="00BE1983" w:rsidP="00BE1983">
            <w:pPr>
              <w:tabs>
                <w:tab w:val="right" w:pos="7560"/>
              </w:tabs>
              <w:spacing w:afterLines="30" w:after="72"/>
              <w:rPr>
                <w:szCs w:val="22"/>
              </w:rPr>
            </w:pPr>
            <w:r w:rsidRPr="00BE1983">
              <w:rPr>
                <w:szCs w:val="22"/>
              </w:rPr>
              <w:t>- Redevance d’occupation des fourreaux pour les Zones d’aménagement concerté de plusieurs collectivités, due par les opérateurs. (</w:t>
            </w:r>
            <w:proofErr w:type="gramStart"/>
            <w:r w:rsidRPr="00BE1983">
              <w:rPr>
                <w:szCs w:val="22"/>
              </w:rPr>
              <w:t>chapitre</w:t>
            </w:r>
            <w:proofErr w:type="gramEnd"/>
            <w:r w:rsidRPr="00BE1983">
              <w:rPr>
                <w:szCs w:val="22"/>
              </w:rPr>
              <w:t xml:space="preserve"> 77)</w:t>
            </w:r>
          </w:p>
        </w:tc>
        <w:tc>
          <w:tcPr>
            <w:tcW w:w="2467" w:type="dxa"/>
          </w:tcPr>
          <w:p w:rsidR="00BE1983" w:rsidRPr="00BE1983" w:rsidRDefault="00DE45C3" w:rsidP="00BE1983">
            <w:pPr>
              <w:tabs>
                <w:tab w:val="right" w:pos="7560"/>
              </w:tabs>
              <w:spacing w:afterLines="30" w:after="72"/>
              <w:jc w:val="right"/>
              <w:rPr>
                <w:szCs w:val="22"/>
              </w:rPr>
            </w:pPr>
            <w:r>
              <w:rPr>
                <w:szCs w:val="22"/>
              </w:rPr>
              <w:t xml:space="preserve">268 000 </w:t>
            </w:r>
            <w:r w:rsidR="00BE1983" w:rsidRPr="00BE1983">
              <w:rPr>
                <w:szCs w:val="22"/>
              </w:rPr>
              <w:t>€</w:t>
            </w:r>
          </w:p>
        </w:tc>
      </w:tr>
      <w:tr w:rsidR="00BE1983" w:rsidRPr="00BE1983" w:rsidTr="001D6938">
        <w:tc>
          <w:tcPr>
            <w:tcW w:w="6593" w:type="dxa"/>
            <w:shd w:val="clear" w:color="auto" w:fill="auto"/>
          </w:tcPr>
          <w:p w:rsidR="00BE1983" w:rsidRPr="00BE1983" w:rsidRDefault="00BE1983" w:rsidP="00BE1983">
            <w:pPr>
              <w:tabs>
                <w:tab w:val="right" w:pos="7560"/>
              </w:tabs>
              <w:spacing w:afterLines="30" w:after="72"/>
              <w:rPr>
                <w:szCs w:val="22"/>
              </w:rPr>
            </w:pPr>
            <w:r w:rsidRPr="00BE1983">
              <w:rPr>
                <w:szCs w:val="22"/>
              </w:rPr>
              <w:t xml:space="preserve">- Cotisations des adhérents </w:t>
            </w:r>
            <w:r w:rsidR="00F843E6">
              <w:rPr>
                <w:szCs w:val="22"/>
              </w:rPr>
              <w:t xml:space="preserve">principalement </w:t>
            </w:r>
            <w:r w:rsidR="00095911">
              <w:rPr>
                <w:szCs w:val="22"/>
              </w:rPr>
              <w:t>aux activités raccordement</w:t>
            </w:r>
            <w:r w:rsidR="00EA2336">
              <w:rPr>
                <w:szCs w:val="22"/>
              </w:rPr>
              <w:t xml:space="preserve"> et d’achat mutualisé (groupement</w:t>
            </w:r>
            <w:r w:rsidR="00110C69">
              <w:rPr>
                <w:szCs w:val="22"/>
              </w:rPr>
              <w:t>s</w:t>
            </w:r>
            <w:r w:rsidR="00BD7026">
              <w:rPr>
                <w:szCs w:val="22"/>
              </w:rPr>
              <w:t xml:space="preserve"> de commandes</w:t>
            </w:r>
            <w:r w:rsidR="00EA2336">
              <w:rPr>
                <w:szCs w:val="22"/>
              </w:rPr>
              <w:t xml:space="preserve"> et centrale d’achat) dans les domaines de </w:t>
            </w:r>
            <w:r w:rsidR="00110C69">
              <w:rPr>
                <w:szCs w:val="22"/>
              </w:rPr>
              <w:t>Fourniture</w:t>
            </w:r>
            <w:r w:rsidR="00BD7026">
              <w:rPr>
                <w:szCs w:val="22"/>
              </w:rPr>
              <w:t>s</w:t>
            </w:r>
            <w:r w:rsidR="00110C69">
              <w:rPr>
                <w:szCs w:val="22"/>
              </w:rPr>
              <w:t xml:space="preserve"> et services, de l’Electricité, d</w:t>
            </w:r>
            <w:r w:rsidR="00EA2336">
              <w:rPr>
                <w:szCs w:val="22"/>
              </w:rPr>
              <w:t>es Services de Communication Electronique et</w:t>
            </w:r>
            <w:r w:rsidR="00110C69">
              <w:rPr>
                <w:szCs w:val="22"/>
              </w:rPr>
              <w:t xml:space="preserve"> du</w:t>
            </w:r>
            <w:r w:rsidRPr="00BE1983">
              <w:rPr>
                <w:szCs w:val="22"/>
              </w:rPr>
              <w:t xml:space="preserve"> Système </w:t>
            </w:r>
            <w:r w:rsidR="00EA2336">
              <w:rPr>
                <w:szCs w:val="22"/>
              </w:rPr>
              <w:t xml:space="preserve">d’information </w:t>
            </w:r>
            <w:proofErr w:type="gramStart"/>
            <w:r w:rsidR="00EA2336">
              <w:rPr>
                <w:szCs w:val="22"/>
              </w:rPr>
              <w:t xml:space="preserve">géographique </w:t>
            </w:r>
            <w:r w:rsidRPr="00BE1983">
              <w:rPr>
                <w:szCs w:val="22"/>
              </w:rPr>
              <w:t>.</w:t>
            </w:r>
            <w:proofErr w:type="gramEnd"/>
            <w:r w:rsidRPr="00BE1983">
              <w:rPr>
                <w:szCs w:val="22"/>
              </w:rPr>
              <w:t xml:space="preserve"> (</w:t>
            </w:r>
            <w:proofErr w:type="gramStart"/>
            <w:r w:rsidRPr="00BE1983">
              <w:rPr>
                <w:szCs w:val="22"/>
              </w:rPr>
              <w:t>chapitre</w:t>
            </w:r>
            <w:proofErr w:type="gramEnd"/>
            <w:r w:rsidRPr="00BE1983">
              <w:rPr>
                <w:szCs w:val="22"/>
              </w:rPr>
              <w:t xml:space="preserve"> 74)</w:t>
            </w:r>
          </w:p>
        </w:tc>
        <w:tc>
          <w:tcPr>
            <w:tcW w:w="2467" w:type="dxa"/>
            <w:shd w:val="clear" w:color="auto" w:fill="auto"/>
          </w:tcPr>
          <w:p w:rsidR="00BE1983" w:rsidRPr="00BE1983" w:rsidRDefault="00AA66CD" w:rsidP="00BE1983">
            <w:pPr>
              <w:spacing w:afterLines="30" w:after="72"/>
              <w:jc w:val="right"/>
              <w:rPr>
                <w:szCs w:val="22"/>
              </w:rPr>
            </w:pPr>
            <w:r>
              <w:rPr>
                <w:szCs w:val="22"/>
              </w:rPr>
              <w:t xml:space="preserve">3 </w:t>
            </w:r>
            <w:r w:rsidR="00D54DCB">
              <w:rPr>
                <w:szCs w:val="22"/>
              </w:rPr>
              <w:t>214</w:t>
            </w:r>
            <w:r>
              <w:rPr>
                <w:szCs w:val="22"/>
              </w:rPr>
              <w:t xml:space="preserve"> 800 </w:t>
            </w:r>
            <w:r w:rsidR="00BE1983" w:rsidRPr="00BE1983">
              <w:rPr>
                <w:szCs w:val="22"/>
              </w:rPr>
              <w:t>€</w:t>
            </w:r>
          </w:p>
        </w:tc>
      </w:tr>
      <w:tr w:rsidR="00BE1983" w:rsidRPr="00BE1983" w:rsidTr="001D6938">
        <w:trPr>
          <w:trHeight w:val="1591"/>
        </w:trPr>
        <w:tc>
          <w:tcPr>
            <w:tcW w:w="6593" w:type="dxa"/>
          </w:tcPr>
          <w:p w:rsidR="00BE1983" w:rsidRPr="00BE1983" w:rsidRDefault="00BE1983" w:rsidP="00BE1983">
            <w:pPr>
              <w:tabs>
                <w:tab w:val="right" w:pos="7560"/>
              </w:tabs>
              <w:spacing w:afterLines="30" w:after="72"/>
              <w:rPr>
                <w:szCs w:val="22"/>
                <w:highlight w:val="yellow"/>
              </w:rPr>
            </w:pPr>
            <w:r w:rsidRPr="00BE1983">
              <w:rPr>
                <w:szCs w:val="22"/>
              </w:rPr>
              <w:lastRenderedPageBreak/>
              <w:t xml:space="preserve">- Contribution du SIFUREP, du SICJ, de la SEM </w:t>
            </w:r>
            <w:proofErr w:type="spellStart"/>
            <w:r w:rsidRPr="00BE1983">
              <w:rPr>
                <w:szCs w:val="22"/>
              </w:rPr>
              <w:t>SIPEnR</w:t>
            </w:r>
            <w:proofErr w:type="spellEnd"/>
            <w:r w:rsidRPr="00BE1983">
              <w:rPr>
                <w:szCs w:val="22"/>
              </w:rPr>
              <w:t xml:space="preserve"> et de la SPL SEER aux frais de personnel et de gestion communs (</w:t>
            </w:r>
            <w:r w:rsidR="005838C7">
              <w:rPr>
                <w:szCs w:val="22"/>
              </w:rPr>
              <w:t xml:space="preserve">312 000 </w:t>
            </w:r>
            <w:r w:rsidRPr="00BE1983">
              <w:rPr>
                <w:szCs w:val="22"/>
              </w:rPr>
              <w:t>€), participation de la région Ile-de-France aux frais d’apprentissage (</w:t>
            </w:r>
            <w:r w:rsidR="00D54DCB">
              <w:rPr>
                <w:szCs w:val="22"/>
              </w:rPr>
              <w:t xml:space="preserve">5 000 </w:t>
            </w:r>
            <w:r w:rsidRPr="00BE1983">
              <w:rPr>
                <w:szCs w:val="22"/>
              </w:rPr>
              <w:t>€) et remboursement de charges des agents en situation de détachement (</w:t>
            </w:r>
            <w:r w:rsidR="00D54DCB">
              <w:rPr>
                <w:szCs w:val="22"/>
              </w:rPr>
              <w:t xml:space="preserve">18 000 </w:t>
            </w:r>
            <w:r w:rsidRPr="00BE1983">
              <w:rPr>
                <w:szCs w:val="22"/>
              </w:rPr>
              <w:t>€). (</w:t>
            </w:r>
            <w:proofErr w:type="gramStart"/>
            <w:r w:rsidRPr="00BE1983">
              <w:rPr>
                <w:szCs w:val="22"/>
              </w:rPr>
              <w:t>chapitres</w:t>
            </w:r>
            <w:proofErr w:type="gramEnd"/>
            <w:r w:rsidRPr="00BE1983">
              <w:rPr>
                <w:szCs w:val="22"/>
              </w:rPr>
              <w:t xml:space="preserve"> 013</w:t>
            </w:r>
            <w:r w:rsidR="00AF3218">
              <w:rPr>
                <w:szCs w:val="22"/>
              </w:rPr>
              <w:t>,</w:t>
            </w:r>
            <w:r w:rsidRPr="00BE1983">
              <w:rPr>
                <w:szCs w:val="22"/>
              </w:rPr>
              <w:t xml:space="preserve"> 70</w:t>
            </w:r>
            <w:r w:rsidR="00AF3218" w:rsidRPr="00BE1983">
              <w:rPr>
                <w:szCs w:val="22"/>
              </w:rPr>
              <w:t xml:space="preserve"> et</w:t>
            </w:r>
            <w:r w:rsidR="00AF3218">
              <w:rPr>
                <w:szCs w:val="22"/>
              </w:rPr>
              <w:t xml:space="preserve"> 77</w:t>
            </w:r>
            <w:r w:rsidRPr="00BE1983">
              <w:rPr>
                <w:szCs w:val="22"/>
              </w:rPr>
              <w:t>)</w:t>
            </w:r>
          </w:p>
        </w:tc>
        <w:tc>
          <w:tcPr>
            <w:tcW w:w="2467" w:type="dxa"/>
          </w:tcPr>
          <w:p w:rsidR="00BE1983" w:rsidRPr="00BE1983" w:rsidRDefault="00D54DCB" w:rsidP="00BE1983">
            <w:pPr>
              <w:spacing w:afterLines="30" w:after="72"/>
              <w:jc w:val="right"/>
              <w:rPr>
                <w:szCs w:val="22"/>
                <w:highlight w:val="yellow"/>
              </w:rPr>
            </w:pPr>
            <w:r>
              <w:rPr>
                <w:szCs w:val="22"/>
              </w:rPr>
              <w:t>3</w:t>
            </w:r>
            <w:r w:rsidR="00310CEA">
              <w:rPr>
                <w:szCs w:val="22"/>
              </w:rPr>
              <w:t>35</w:t>
            </w:r>
            <w:r>
              <w:rPr>
                <w:szCs w:val="22"/>
              </w:rPr>
              <w:t xml:space="preserve"> 000 </w:t>
            </w:r>
            <w:r w:rsidR="00BE1983" w:rsidRPr="00BE1983">
              <w:rPr>
                <w:szCs w:val="22"/>
              </w:rPr>
              <w:t>€</w:t>
            </w:r>
          </w:p>
        </w:tc>
      </w:tr>
      <w:tr w:rsidR="00BE1983" w:rsidRPr="00BE1983" w:rsidTr="001D6938">
        <w:trPr>
          <w:trHeight w:val="566"/>
        </w:trPr>
        <w:tc>
          <w:tcPr>
            <w:tcW w:w="6593" w:type="dxa"/>
          </w:tcPr>
          <w:p w:rsidR="00BE1983" w:rsidRPr="00BE1983" w:rsidRDefault="00BE1983" w:rsidP="00BE1983">
            <w:pPr>
              <w:spacing w:afterLines="30" w:after="72"/>
              <w:rPr>
                <w:szCs w:val="22"/>
              </w:rPr>
            </w:pPr>
            <w:r w:rsidRPr="00BE1983">
              <w:rPr>
                <w:szCs w:val="22"/>
              </w:rPr>
              <w:t>- Recette inscrite pour effectuer les opérations d’ordre de transfert au compte de résultat de participations perçues auprès des collectivités pour les travaux d’installations photovoltaïques d’enfouissement et de géothermie. (</w:t>
            </w:r>
            <w:proofErr w:type="gramStart"/>
            <w:r w:rsidRPr="00BE1983">
              <w:rPr>
                <w:szCs w:val="22"/>
              </w:rPr>
              <w:t>chapitre</w:t>
            </w:r>
            <w:proofErr w:type="gramEnd"/>
            <w:r w:rsidRPr="00BE1983">
              <w:rPr>
                <w:szCs w:val="22"/>
              </w:rPr>
              <w:t xml:space="preserve"> 042)</w:t>
            </w:r>
          </w:p>
        </w:tc>
        <w:tc>
          <w:tcPr>
            <w:tcW w:w="2467" w:type="dxa"/>
          </w:tcPr>
          <w:p w:rsidR="00BE1983" w:rsidRPr="00BE1983" w:rsidRDefault="00626F12" w:rsidP="00BE1983">
            <w:pPr>
              <w:spacing w:afterLines="30" w:after="72"/>
              <w:jc w:val="right"/>
              <w:rPr>
                <w:szCs w:val="22"/>
              </w:rPr>
            </w:pPr>
            <w:r>
              <w:rPr>
                <w:szCs w:val="22"/>
              </w:rPr>
              <w:t xml:space="preserve">2 500 000 </w:t>
            </w:r>
            <w:r w:rsidR="00BE1983" w:rsidRPr="00BE1983">
              <w:rPr>
                <w:szCs w:val="22"/>
              </w:rPr>
              <w:t>€</w:t>
            </w:r>
          </w:p>
        </w:tc>
      </w:tr>
    </w:tbl>
    <w:p w:rsidR="00BE1983" w:rsidRPr="00BE1983" w:rsidRDefault="00BE1983" w:rsidP="00BE1983">
      <w:pPr>
        <w:tabs>
          <w:tab w:val="right" w:pos="7560"/>
        </w:tabs>
        <w:rPr>
          <w:highlight w:val="yellow"/>
        </w:rPr>
      </w:pPr>
    </w:p>
    <w:p w:rsidR="00BE1983" w:rsidRPr="00BE1983" w:rsidRDefault="00BE1983" w:rsidP="00BE1983">
      <w:pPr>
        <w:tabs>
          <w:tab w:val="right" w:pos="7560"/>
        </w:tabs>
        <w:rPr>
          <w:highlight w:val="yellow"/>
        </w:rPr>
      </w:pPr>
    </w:p>
    <w:p w:rsidR="00BE1983" w:rsidRPr="00BE1983" w:rsidRDefault="00BE1983" w:rsidP="00BE1983">
      <w:pPr>
        <w:keepNext/>
        <w:numPr>
          <w:ilvl w:val="1"/>
          <w:numId w:val="0"/>
        </w:numPr>
        <w:tabs>
          <w:tab w:val="num" w:pos="360"/>
        </w:tabs>
        <w:spacing w:before="120" w:after="120"/>
        <w:outlineLvl w:val="1"/>
        <w:rPr>
          <w:rFonts w:cs="Arial"/>
          <w:b/>
          <w:bCs/>
          <w:i/>
          <w:iCs/>
          <w:szCs w:val="22"/>
        </w:rPr>
      </w:pPr>
      <w:r w:rsidRPr="00BE1983">
        <w:rPr>
          <w:rFonts w:cs="Arial"/>
          <w:b/>
          <w:bCs/>
          <w:i/>
          <w:iCs/>
          <w:szCs w:val="22"/>
        </w:rPr>
        <w:t xml:space="preserve">2.2 Les dépenses de la section de fonctionnement : </w:t>
      </w:r>
      <w:r w:rsidRPr="00BE1983">
        <w:rPr>
          <w:rFonts w:cs="Arial"/>
          <w:b/>
          <w:bCs/>
          <w:i/>
          <w:iCs/>
          <w:szCs w:val="22"/>
        </w:rPr>
        <w:tab/>
      </w:r>
      <w:r w:rsidRPr="00BE1983">
        <w:rPr>
          <w:rFonts w:cs="Arial"/>
          <w:b/>
          <w:bCs/>
          <w:i/>
          <w:iCs/>
          <w:szCs w:val="22"/>
        </w:rPr>
        <w:tab/>
        <w:t xml:space="preserve">                    </w:t>
      </w:r>
      <w:r w:rsidR="005068DF" w:rsidRPr="005068DF">
        <w:rPr>
          <w:rFonts w:cs="Arial"/>
          <w:b/>
          <w:bCs/>
          <w:i/>
          <w:iCs/>
          <w:szCs w:val="22"/>
        </w:rPr>
        <w:t>110 527 200 €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2"/>
        <w:gridCol w:w="2468"/>
      </w:tblGrid>
      <w:tr w:rsidR="00BE1983" w:rsidRPr="00BE1983" w:rsidTr="00363EBC">
        <w:trPr>
          <w:trHeight w:val="685"/>
        </w:trPr>
        <w:tc>
          <w:tcPr>
            <w:tcW w:w="6592" w:type="dxa"/>
          </w:tcPr>
          <w:p w:rsidR="00BE1983" w:rsidRPr="00BE1983" w:rsidRDefault="00BE1983" w:rsidP="00BE1983">
            <w:pPr>
              <w:spacing w:afterLines="30" w:after="72"/>
              <w:rPr>
                <w:szCs w:val="22"/>
              </w:rPr>
            </w:pPr>
            <w:r w:rsidRPr="00BE1983">
              <w:rPr>
                <w:szCs w:val="22"/>
              </w:rPr>
              <w:t>- Reversement après contrôle de la TCCFE aux communes adhérentes à la compétence électricité. (</w:t>
            </w:r>
            <w:proofErr w:type="gramStart"/>
            <w:r w:rsidRPr="00BE1983">
              <w:rPr>
                <w:szCs w:val="22"/>
              </w:rPr>
              <w:t>chapitre</w:t>
            </w:r>
            <w:proofErr w:type="gramEnd"/>
            <w:r w:rsidRPr="00BE1983">
              <w:rPr>
                <w:szCs w:val="22"/>
              </w:rPr>
              <w:t xml:space="preserve"> 014)</w:t>
            </w:r>
          </w:p>
        </w:tc>
        <w:tc>
          <w:tcPr>
            <w:tcW w:w="2468" w:type="dxa"/>
          </w:tcPr>
          <w:p w:rsidR="00BE1983" w:rsidRPr="00BE1983" w:rsidRDefault="00902323" w:rsidP="00BE1983">
            <w:pPr>
              <w:tabs>
                <w:tab w:val="right" w:pos="7560"/>
              </w:tabs>
              <w:spacing w:afterLines="30" w:after="72"/>
              <w:ind w:left="851" w:hanging="851"/>
              <w:jc w:val="right"/>
              <w:rPr>
                <w:szCs w:val="22"/>
              </w:rPr>
            </w:pPr>
            <w:r>
              <w:rPr>
                <w:szCs w:val="22"/>
              </w:rPr>
              <w:t xml:space="preserve">53 656 000 </w:t>
            </w:r>
            <w:r w:rsidR="00BE1983" w:rsidRPr="00BE1983">
              <w:rPr>
                <w:szCs w:val="22"/>
              </w:rPr>
              <w:t>€</w:t>
            </w:r>
          </w:p>
        </w:tc>
      </w:tr>
      <w:tr w:rsidR="00BE1983" w:rsidRPr="00BE1983" w:rsidTr="00363EBC">
        <w:trPr>
          <w:trHeight w:val="886"/>
        </w:trPr>
        <w:tc>
          <w:tcPr>
            <w:tcW w:w="6592" w:type="dxa"/>
          </w:tcPr>
          <w:p w:rsidR="00BE1983" w:rsidRPr="00BE1983" w:rsidRDefault="00BE1983" w:rsidP="00BE1983">
            <w:pPr>
              <w:spacing w:afterLines="30" w:after="72"/>
              <w:rPr>
                <w:szCs w:val="22"/>
              </w:rPr>
            </w:pPr>
            <w:r w:rsidRPr="00BE1983">
              <w:rPr>
                <w:szCs w:val="22"/>
              </w:rPr>
              <w:t>- Reversement de la RODP électricité, de la RODP réseau routier de télécommunications, des RODP par les concessionnaires des réseaux câblés et du réseau fibre noire. (</w:t>
            </w:r>
            <w:proofErr w:type="gramStart"/>
            <w:r w:rsidRPr="00BE1983">
              <w:rPr>
                <w:szCs w:val="22"/>
              </w:rPr>
              <w:t>chapitre</w:t>
            </w:r>
            <w:proofErr w:type="gramEnd"/>
            <w:r w:rsidRPr="00BE1983">
              <w:rPr>
                <w:szCs w:val="22"/>
              </w:rPr>
              <w:t xml:space="preserve"> 65)</w:t>
            </w:r>
          </w:p>
        </w:tc>
        <w:tc>
          <w:tcPr>
            <w:tcW w:w="2468" w:type="dxa"/>
          </w:tcPr>
          <w:p w:rsidR="00BE1983" w:rsidRPr="00BE1983" w:rsidRDefault="00ED2BD1" w:rsidP="00BE1983">
            <w:pPr>
              <w:tabs>
                <w:tab w:val="right" w:pos="7560"/>
              </w:tabs>
              <w:spacing w:afterLines="30" w:after="72"/>
              <w:ind w:left="851" w:hanging="851"/>
              <w:jc w:val="right"/>
              <w:rPr>
                <w:szCs w:val="22"/>
              </w:rPr>
            </w:pPr>
            <w:r>
              <w:rPr>
                <w:szCs w:val="22"/>
              </w:rPr>
              <w:t xml:space="preserve">10 343 000 </w:t>
            </w:r>
            <w:r w:rsidR="00BE1983" w:rsidRPr="00BE1983">
              <w:rPr>
                <w:szCs w:val="22"/>
              </w:rPr>
              <w:t>€</w:t>
            </w:r>
          </w:p>
          <w:p w:rsidR="00BE1983" w:rsidRPr="00BE1983" w:rsidRDefault="00BE1983" w:rsidP="00BE1983">
            <w:pPr>
              <w:spacing w:afterLines="30" w:after="72"/>
              <w:rPr>
                <w:szCs w:val="22"/>
              </w:rPr>
            </w:pPr>
          </w:p>
        </w:tc>
      </w:tr>
      <w:tr w:rsidR="00BE1983" w:rsidRPr="00BE1983" w:rsidTr="00363EBC">
        <w:trPr>
          <w:trHeight w:val="628"/>
        </w:trPr>
        <w:tc>
          <w:tcPr>
            <w:tcW w:w="6592" w:type="dxa"/>
          </w:tcPr>
          <w:p w:rsidR="00BE1983" w:rsidRPr="00BE1983" w:rsidRDefault="00BE1983" w:rsidP="00BE1983">
            <w:pPr>
              <w:spacing w:afterLines="30" w:after="72"/>
              <w:rPr>
                <w:szCs w:val="22"/>
              </w:rPr>
            </w:pPr>
            <w:r w:rsidRPr="00BE1983">
              <w:rPr>
                <w:szCs w:val="22"/>
              </w:rPr>
              <w:t>- Reversement aux CCAS du fonds « chèque chaleur » dans le cadre des DSP de géothermie (chapitre 65)</w:t>
            </w:r>
          </w:p>
        </w:tc>
        <w:tc>
          <w:tcPr>
            <w:tcW w:w="2468" w:type="dxa"/>
          </w:tcPr>
          <w:p w:rsidR="00BE1983" w:rsidRPr="00BE1983" w:rsidRDefault="00611A8B" w:rsidP="00BE1983">
            <w:pPr>
              <w:spacing w:afterLines="30" w:after="72"/>
              <w:ind w:left="851" w:hanging="851"/>
              <w:jc w:val="right"/>
              <w:rPr>
                <w:szCs w:val="22"/>
              </w:rPr>
            </w:pPr>
            <w:r>
              <w:rPr>
                <w:szCs w:val="22"/>
              </w:rPr>
              <w:t xml:space="preserve">104 200 </w:t>
            </w:r>
            <w:r w:rsidR="00BE1983" w:rsidRPr="00BE1983">
              <w:rPr>
                <w:szCs w:val="22"/>
              </w:rPr>
              <w:t>€</w:t>
            </w:r>
          </w:p>
        </w:tc>
      </w:tr>
      <w:tr w:rsidR="00BE1983" w:rsidRPr="00BE1983" w:rsidTr="00363EBC">
        <w:trPr>
          <w:trHeight w:val="809"/>
        </w:trPr>
        <w:tc>
          <w:tcPr>
            <w:tcW w:w="6592" w:type="dxa"/>
          </w:tcPr>
          <w:p w:rsidR="00BE1983" w:rsidRPr="00BE1983" w:rsidRDefault="00BE1983" w:rsidP="00BE1983">
            <w:pPr>
              <w:tabs>
                <w:tab w:val="right" w:pos="7560"/>
              </w:tabs>
              <w:spacing w:afterLines="30" w:after="72"/>
              <w:rPr>
                <w:szCs w:val="22"/>
              </w:rPr>
            </w:pPr>
            <w:r w:rsidRPr="00BE1983">
              <w:rPr>
                <w:szCs w:val="22"/>
              </w:rPr>
              <w:t>- Dépenses de garanties pour un forage dans le cadre d’un projet de réseaux de chaleur à base de géothermie remboursées par le délégataire. (</w:t>
            </w:r>
            <w:proofErr w:type="gramStart"/>
            <w:r w:rsidRPr="00BE1983">
              <w:rPr>
                <w:szCs w:val="22"/>
              </w:rPr>
              <w:t>chapitre</w:t>
            </w:r>
            <w:proofErr w:type="gramEnd"/>
            <w:r w:rsidRPr="00BE1983">
              <w:rPr>
                <w:szCs w:val="22"/>
              </w:rPr>
              <w:t xml:space="preserve"> 011)</w:t>
            </w:r>
          </w:p>
        </w:tc>
        <w:tc>
          <w:tcPr>
            <w:tcW w:w="2468" w:type="dxa"/>
          </w:tcPr>
          <w:p w:rsidR="00BE1983" w:rsidRPr="00BE1983" w:rsidRDefault="00611A8B" w:rsidP="00BE1983">
            <w:pPr>
              <w:spacing w:afterLines="30" w:after="72"/>
              <w:ind w:left="851" w:hanging="851"/>
              <w:jc w:val="right"/>
              <w:rPr>
                <w:szCs w:val="22"/>
              </w:rPr>
            </w:pPr>
            <w:r>
              <w:rPr>
                <w:szCs w:val="22"/>
              </w:rPr>
              <w:t xml:space="preserve">160 000 </w:t>
            </w:r>
            <w:r w:rsidR="00BE1983" w:rsidRPr="00BE1983">
              <w:rPr>
                <w:szCs w:val="22"/>
              </w:rPr>
              <w:t>€</w:t>
            </w:r>
          </w:p>
        </w:tc>
      </w:tr>
      <w:tr w:rsidR="00BE1983" w:rsidRPr="00BE1983" w:rsidTr="00363EBC">
        <w:trPr>
          <w:trHeight w:val="679"/>
        </w:trPr>
        <w:tc>
          <w:tcPr>
            <w:tcW w:w="6592" w:type="dxa"/>
          </w:tcPr>
          <w:p w:rsidR="00BE1983" w:rsidRPr="00BE1983" w:rsidRDefault="00BE1983" w:rsidP="00BE1983">
            <w:pPr>
              <w:spacing w:afterLines="30" w:after="72"/>
              <w:rPr>
                <w:szCs w:val="22"/>
              </w:rPr>
            </w:pPr>
            <w:r w:rsidRPr="00BE1983">
              <w:rPr>
                <w:szCs w:val="22"/>
              </w:rPr>
              <w:t>- Maîtrise d’ouvrage liée à l’enfouissement des réseaux autres que ceux d</w:t>
            </w:r>
            <w:r w:rsidR="00526F36">
              <w:rPr>
                <w:szCs w:val="22"/>
              </w:rPr>
              <w:t>e la distribution publique d</w:t>
            </w:r>
            <w:r w:rsidRPr="00BE1983">
              <w:rPr>
                <w:szCs w:val="22"/>
              </w:rPr>
              <w:t>’électricité. (</w:t>
            </w:r>
            <w:proofErr w:type="gramStart"/>
            <w:r w:rsidRPr="00BE1983">
              <w:rPr>
                <w:szCs w:val="22"/>
              </w:rPr>
              <w:t>chapitres</w:t>
            </w:r>
            <w:proofErr w:type="gramEnd"/>
            <w:r w:rsidRPr="00BE1983">
              <w:rPr>
                <w:szCs w:val="22"/>
              </w:rPr>
              <w:t xml:space="preserve"> 011 et 67)</w:t>
            </w:r>
          </w:p>
        </w:tc>
        <w:tc>
          <w:tcPr>
            <w:tcW w:w="2468" w:type="dxa"/>
          </w:tcPr>
          <w:p w:rsidR="00BE1983" w:rsidRPr="00BE1983" w:rsidRDefault="002811D9" w:rsidP="00BE1983">
            <w:pPr>
              <w:spacing w:afterLines="30" w:after="72"/>
              <w:ind w:left="851" w:hanging="851"/>
              <w:jc w:val="right"/>
              <w:rPr>
                <w:szCs w:val="22"/>
              </w:rPr>
            </w:pPr>
            <w:r>
              <w:rPr>
                <w:szCs w:val="22"/>
              </w:rPr>
              <w:t>1</w:t>
            </w:r>
            <w:r w:rsidR="00190E7C">
              <w:rPr>
                <w:szCs w:val="22"/>
              </w:rPr>
              <w:t>7</w:t>
            </w:r>
            <w:r>
              <w:rPr>
                <w:szCs w:val="22"/>
              </w:rPr>
              <w:t> </w:t>
            </w:r>
            <w:r w:rsidR="00190E7C">
              <w:rPr>
                <w:szCs w:val="22"/>
              </w:rPr>
              <w:t>237</w:t>
            </w:r>
            <w:r>
              <w:rPr>
                <w:szCs w:val="22"/>
              </w:rPr>
              <w:t xml:space="preserve"> 600 </w:t>
            </w:r>
            <w:r w:rsidR="00BE1983" w:rsidRPr="00BE1983">
              <w:rPr>
                <w:szCs w:val="22"/>
              </w:rPr>
              <w:t>€</w:t>
            </w:r>
          </w:p>
        </w:tc>
      </w:tr>
      <w:tr w:rsidR="00BE1983" w:rsidRPr="00BE1983" w:rsidTr="00363EBC">
        <w:trPr>
          <w:trHeight w:val="1045"/>
        </w:trPr>
        <w:tc>
          <w:tcPr>
            <w:tcW w:w="6592" w:type="dxa"/>
          </w:tcPr>
          <w:p w:rsidR="00BE1983" w:rsidRPr="00BE1983" w:rsidRDefault="00BE1983" w:rsidP="00BE1983">
            <w:pPr>
              <w:tabs>
                <w:tab w:val="right" w:pos="7560"/>
              </w:tabs>
              <w:spacing w:afterLines="30" w:after="72"/>
              <w:rPr>
                <w:szCs w:val="22"/>
              </w:rPr>
            </w:pPr>
            <w:r w:rsidRPr="00BE1983">
              <w:rPr>
                <w:szCs w:val="22"/>
              </w:rPr>
              <w:t>- Maîtrise d’ouvrage liée à la réfection de toitures pour la pose d’installations photovoltaïques, les frais de maintenance, de suivi de production des installations en exploitation et le reversement de la vente d’électricité aux collectivités. (</w:t>
            </w:r>
            <w:proofErr w:type="gramStart"/>
            <w:r w:rsidRPr="00BE1983">
              <w:rPr>
                <w:szCs w:val="22"/>
              </w:rPr>
              <w:t>chapitres</w:t>
            </w:r>
            <w:proofErr w:type="gramEnd"/>
            <w:r w:rsidRPr="00BE1983">
              <w:rPr>
                <w:szCs w:val="22"/>
              </w:rPr>
              <w:t xml:space="preserve"> 011 et 65)</w:t>
            </w:r>
          </w:p>
        </w:tc>
        <w:tc>
          <w:tcPr>
            <w:tcW w:w="2468" w:type="dxa"/>
          </w:tcPr>
          <w:p w:rsidR="00BE1983" w:rsidRPr="00BE1983" w:rsidRDefault="009408AD" w:rsidP="00BE1983">
            <w:pPr>
              <w:spacing w:afterLines="30" w:after="72"/>
              <w:ind w:left="851" w:hanging="851"/>
              <w:jc w:val="right"/>
              <w:rPr>
                <w:szCs w:val="22"/>
              </w:rPr>
            </w:pPr>
            <w:r>
              <w:rPr>
                <w:szCs w:val="22"/>
              </w:rPr>
              <w:t xml:space="preserve">842 250 </w:t>
            </w:r>
            <w:r w:rsidR="00BE1983" w:rsidRPr="00BE1983">
              <w:rPr>
                <w:szCs w:val="22"/>
              </w:rPr>
              <w:t>€</w:t>
            </w:r>
          </w:p>
        </w:tc>
      </w:tr>
      <w:tr w:rsidR="00BE1983" w:rsidRPr="00BE1983" w:rsidTr="00363EBC">
        <w:trPr>
          <w:trHeight w:val="679"/>
        </w:trPr>
        <w:tc>
          <w:tcPr>
            <w:tcW w:w="6592" w:type="dxa"/>
          </w:tcPr>
          <w:p w:rsidR="00BE1983" w:rsidRPr="00BE1983" w:rsidRDefault="00BE1983" w:rsidP="00BE1983">
            <w:pPr>
              <w:spacing w:afterLines="30" w:after="72"/>
              <w:rPr>
                <w:szCs w:val="22"/>
              </w:rPr>
            </w:pPr>
            <w:r w:rsidRPr="00BE1983">
              <w:rPr>
                <w:szCs w:val="22"/>
              </w:rPr>
              <w:t>- Reversement du produit de la vente des certificats d’économie d’énergie aux collectivités. (</w:t>
            </w:r>
            <w:proofErr w:type="gramStart"/>
            <w:r w:rsidRPr="00BE1983">
              <w:rPr>
                <w:szCs w:val="22"/>
              </w:rPr>
              <w:t>chapitre</w:t>
            </w:r>
            <w:proofErr w:type="gramEnd"/>
            <w:r w:rsidRPr="00BE1983">
              <w:rPr>
                <w:szCs w:val="22"/>
              </w:rPr>
              <w:t xml:space="preserve"> 67)</w:t>
            </w:r>
          </w:p>
        </w:tc>
        <w:tc>
          <w:tcPr>
            <w:tcW w:w="2468" w:type="dxa"/>
          </w:tcPr>
          <w:p w:rsidR="00BE1983" w:rsidRPr="00BE1983" w:rsidRDefault="001C55BB" w:rsidP="00BE1983">
            <w:pPr>
              <w:tabs>
                <w:tab w:val="right" w:pos="7560"/>
              </w:tabs>
              <w:spacing w:afterLines="30" w:after="72"/>
              <w:ind w:left="851" w:hanging="851"/>
              <w:jc w:val="right"/>
              <w:rPr>
                <w:szCs w:val="22"/>
              </w:rPr>
            </w:pPr>
            <w:r>
              <w:rPr>
                <w:szCs w:val="22"/>
              </w:rPr>
              <w:t xml:space="preserve">566 400 </w:t>
            </w:r>
            <w:r w:rsidR="00BE1983" w:rsidRPr="00BE1983">
              <w:rPr>
                <w:szCs w:val="22"/>
              </w:rPr>
              <w:t>€</w:t>
            </w:r>
          </w:p>
        </w:tc>
      </w:tr>
      <w:tr w:rsidR="00BE1983" w:rsidRPr="00BE1983" w:rsidTr="00363EBC">
        <w:tc>
          <w:tcPr>
            <w:tcW w:w="6592" w:type="dxa"/>
          </w:tcPr>
          <w:p w:rsidR="00BE1983" w:rsidRPr="00BE1983" w:rsidRDefault="00BE1983" w:rsidP="00BE1983">
            <w:pPr>
              <w:tabs>
                <w:tab w:val="right" w:pos="7560"/>
              </w:tabs>
              <w:spacing w:afterLines="30" w:after="72"/>
              <w:rPr>
                <w:szCs w:val="22"/>
              </w:rPr>
            </w:pPr>
            <w:r w:rsidRPr="00BE1983">
              <w:rPr>
                <w:szCs w:val="22"/>
              </w:rPr>
              <w:t>- Dispositifs du Fond social précarité, efficacité énergétique (FSPEE) autres que les travaux d’investisse</w:t>
            </w:r>
            <w:r w:rsidR="00BC5F88">
              <w:rPr>
                <w:szCs w:val="22"/>
              </w:rPr>
              <w:t xml:space="preserve">ment tels que le remboursement </w:t>
            </w:r>
            <w:r w:rsidRPr="00BE1983">
              <w:rPr>
                <w:szCs w:val="22"/>
              </w:rPr>
              <w:t>auprès des villes et CCAS des factures d’électricité des usagers démunis dans le cadre des dispositifs prévus à l’article 14 modifié suivant l’avenant n°10 à la convention de partenariat avec EDF et ENEDIS (Ex ERDF) signé le 14 avril 2016 (chapitres 65 et 011)</w:t>
            </w:r>
          </w:p>
        </w:tc>
        <w:tc>
          <w:tcPr>
            <w:tcW w:w="2468" w:type="dxa"/>
            <w:shd w:val="clear" w:color="auto" w:fill="auto"/>
          </w:tcPr>
          <w:p w:rsidR="00BE1983" w:rsidRPr="00BE1983" w:rsidRDefault="003F6C9C" w:rsidP="00BE1983">
            <w:pPr>
              <w:tabs>
                <w:tab w:val="right" w:pos="7560"/>
              </w:tabs>
              <w:spacing w:afterLines="30" w:after="72"/>
              <w:ind w:left="851" w:hanging="851"/>
              <w:jc w:val="right"/>
              <w:rPr>
                <w:szCs w:val="22"/>
              </w:rPr>
            </w:pPr>
            <w:r>
              <w:rPr>
                <w:szCs w:val="22"/>
              </w:rPr>
              <w:t xml:space="preserve">306 000 </w:t>
            </w:r>
            <w:r w:rsidR="00BE1983" w:rsidRPr="00BE1983">
              <w:rPr>
                <w:szCs w:val="22"/>
              </w:rPr>
              <w:t>€</w:t>
            </w:r>
          </w:p>
          <w:p w:rsidR="00BE1983" w:rsidRPr="00BE1983" w:rsidRDefault="00BE1983" w:rsidP="00BE1983">
            <w:pPr>
              <w:spacing w:afterLines="30" w:after="72"/>
              <w:ind w:left="851" w:hanging="851"/>
              <w:jc w:val="right"/>
              <w:rPr>
                <w:szCs w:val="22"/>
              </w:rPr>
            </w:pPr>
          </w:p>
        </w:tc>
      </w:tr>
      <w:tr w:rsidR="00BE1983" w:rsidRPr="00BE1983" w:rsidTr="00363EBC">
        <w:tc>
          <w:tcPr>
            <w:tcW w:w="6592" w:type="dxa"/>
          </w:tcPr>
          <w:p w:rsidR="00BE1983" w:rsidRPr="00BE1983" w:rsidRDefault="00BE1983" w:rsidP="00BE1983">
            <w:pPr>
              <w:spacing w:afterLines="30" w:after="72"/>
              <w:rPr>
                <w:szCs w:val="22"/>
                <w:highlight w:val="yellow"/>
              </w:rPr>
            </w:pPr>
            <w:r w:rsidRPr="00BE1983">
              <w:rPr>
                <w:szCs w:val="22"/>
              </w:rPr>
              <w:t>- Charges à caractère général (chapitre 011 et 67) et charges de gestion courante du syndicat telles que l’entretien et le fonctionnement des locaux, les impôts, la maintenance des outils informatiques, l’organisation de petits déjeuners et colloques, les dépenses d’assistance juridique, technique et financière pour le suivi des différentes délégations de service public et leur contrôle.</w:t>
            </w:r>
          </w:p>
        </w:tc>
        <w:tc>
          <w:tcPr>
            <w:tcW w:w="2468" w:type="dxa"/>
          </w:tcPr>
          <w:p w:rsidR="00BE1983" w:rsidRPr="00BE1983" w:rsidRDefault="00872EFC" w:rsidP="00BE1983">
            <w:pPr>
              <w:tabs>
                <w:tab w:val="right" w:pos="7560"/>
              </w:tabs>
              <w:spacing w:afterLines="30" w:after="72"/>
              <w:ind w:left="851" w:hanging="851"/>
              <w:jc w:val="right"/>
              <w:rPr>
                <w:szCs w:val="22"/>
              </w:rPr>
            </w:pPr>
            <w:r>
              <w:rPr>
                <w:szCs w:val="22"/>
              </w:rPr>
              <w:t>7 962 870</w:t>
            </w:r>
            <w:r w:rsidR="009408AD">
              <w:rPr>
                <w:szCs w:val="22"/>
              </w:rPr>
              <w:t xml:space="preserve"> </w:t>
            </w:r>
            <w:r w:rsidR="00BE1983" w:rsidRPr="00BE1983">
              <w:rPr>
                <w:szCs w:val="22"/>
              </w:rPr>
              <w:t>€</w:t>
            </w:r>
          </w:p>
          <w:p w:rsidR="00BE1983" w:rsidRPr="00BE1983" w:rsidRDefault="00BE1983" w:rsidP="00BE1983">
            <w:pPr>
              <w:spacing w:afterLines="30" w:after="72"/>
              <w:ind w:left="851" w:hanging="851"/>
              <w:jc w:val="right"/>
              <w:rPr>
                <w:szCs w:val="22"/>
                <w:highlight w:val="yellow"/>
              </w:rPr>
            </w:pPr>
          </w:p>
        </w:tc>
      </w:tr>
      <w:tr w:rsidR="00BE1983" w:rsidRPr="00BE1983" w:rsidTr="00363EBC">
        <w:trPr>
          <w:trHeight w:val="387"/>
        </w:trPr>
        <w:tc>
          <w:tcPr>
            <w:tcW w:w="6592" w:type="dxa"/>
            <w:shd w:val="clear" w:color="auto" w:fill="auto"/>
          </w:tcPr>
          <w:p w:rsidR="00BE1983" w:rsidRPr="00BE1983" w:rsidRDefault="00BE1983" w:rsidP="00BE1983">
            <w:pPr>
              <w:spacing w:afterLines="30" w:after="72"/>
              <w:rPr>
                <w:szCs w:val="22"/>
              </w:rPr>
            </w:pPr>
            <w:r w:rsidRPr="00BE1983">
              <w:rPr>
                <w:szCs w:val="22"/>
              </w:rPr>
              <w:t>- Charges de personnel. (</w:t>
            </w:r>
            <w:proofErr w:type="gramStart"/>
            <w:r w:rsidRPr="00BE1983">
              <w:rPr>
                <w:szCs w:val="22"/>
              </w:rPr>
              <w:t>chapitre</w:t>
            </w:r>
            <w:proofErr w:type="gramEnd"/>
            <w:r w:rsidRPr="00BE1983">
              <w:rPr>
                <w:szCs w:val="22"/>
              </w:rPr>
              <w:t xml:space="preserve"> 012)</w:t>
            </w:r>
          </w:p>
        </w:tc>
        <w:tc>
          <w:tcPr>
            <w:tcW w:w="2468" w:type="dxa"/>
            <w:shd w:val="clear" w:color="auto" w:fill="auto"/>
          </w:tcPr>
          <w:p w:rsidR="00BE1983" w:rsidRPr="00BE1983" w:rsidRDefault="00456C7F" w:rsidP="00BE1983">
            <w:pPr>
              <w:tabs>
                <w:tab w:val="right" w:pos="7560"/>
              </w:tabs>
              <w:spacing w:afterLines="30" w:after="72"/>
              <w:ind w:left="851" w:hanging="851"/>
              <w:jc w:val="right"/>
              <w:rPr>
                <w:szCs w:val="22"/>
              </w:rPr>
            </w:pPr>
            <w:r>
              <w:rPr>
                <w:szCs w:val="22"/>
              </w:rPr>
              <w:t xml:space="preserve">4 674 330 </w:t>
            </w:r>
            <w:r w:rsidR="00BE1983" w:rsidRPr="00BE1983">
              <w:rPr>
                <w:szCs w:val="22"/>
              </w:rPr>
              <w:t>€</w:t>
            </w:r>
          </w:p>
        </w:tc>
      </w:tr>
      <w:tr w:rsidR="00BE1983" w:rsidRPr="00BE1983" w:rsidTr="00363EBC">
        <w:tc>
          <w:tcPr>
            <w:tcW w:w="6592" w:type="dxa"/>
          </w:tcPr>
          <w:p w:rsidR="00BE1983" w:rsidRPr="00BE1983" w:rsidRDefault="00BE1983" w:rsidP="00BE1983">
            <w:pPr>
              <w:spacing w:afterLines="30" w:after="72"/>
              <w:rPr>
                <w:szCs w:val="22"/>
              </w:rPr>
            </w:pPr>
            <w:r w:rsidRPr="00BE1983">
              <w:rPr>
                <w:szCs w:val="22"/>
              </w:rPr>
              <w:t>- Indemnités aux élus, remboursement de leur frais d</w:t>
            </w:r>
            <w:r w:rsidR="005136A9">
              <w:rPr>
                <w:szCs w:val="22"/>
              </w:rPr>
              <w:t xml:space="preserve">e déplacement et subvention aux </w:t>
            </w:r>
            <w:r w:rsidRPr="00BE1983">
              <w:rPr>
                <w:szCs w:val="22"/>
              </w:rPr>
              <w:t>association</w:t>
            </w:r>
            <w:r w:rsidR="005136A9">
              <w:rPr>
                <w:szCs w:val="22"/>
              </w:rPr>
              <w:t>s</w:t>
            </w:r>
            <w:r w:rsidR="0071491E">
              <w:rPr>
                <w:szCs w:val="22"/>
              </w:rPr>
              <w:t xml:space="preserve"> </w:t>
            </w:r>
            <w:r w:rsidR="005136A9">
              <w:rPr>
                <w:szCs w:val="22"/>
              </w:rPr>
              <w:t>(</w:t>
            </w:r>
            <w:r w:rsidR="0071491E">
              <w:rPr>
                <w:szCs w:val="22"/>
              </w:rPr>
              <w:t xml:space="preserve">association sportive 5S, </w:t>
            </w:r>
            <w:r w:rsidR="005136A9">
              <w:rPr>
                <w:szCs w:val="22"/>
              </w:rPr>
              <w:t xml:space="preserve">France </w:t>
            </w:r>
            <w:r w:rsidR="0071491E">
              <w:rPr>
                <w:szCs w:val="22"/>
              </w:rPr>
              <w:t>Urbaine,</w:t>
            </w:r>
            <w:r w:rsidR="005136A9">
              <w:rPr>
                <w:szCs w:val="22"/>
              </w:rPr>
              <w:t xml:space="preserve"> association des</w:t>
            </w:r>
            <w:r w:rsidRPr="00BE1983">
              <w:rPr>
                <w:szCs w:val="22"/>
              </w:rPr>
              <w:t xml:space="preserve"> Directeurs généraux</w:t>
            </w:r>
            <w:r w:rsidR="005136A9">
              <w:rPr>
                <w:szCs w:val="22"/>
              </w:rPr>
              <w:t>)</w:t>
            </w:r>
            <w:r w:rsidRPr="00BE1983">
              <w:rPr>
                <w:szCs w:val="22"/>
              </w:rPr>
              <w:t>. (</w:t>
            </w:r>
            <w:proofErr w:type="gramStart"/>
            <w:r w:rsidRPr="00BE1983">
              <w:rPr>
                <w:szCs w:val="22"/>
              </w:rPr>
              <w:t>chapitre</w:t>
            </w:r>
            <w:proofErr w:type="gramEnd"/>
            <w:r w:rsidRPr="00BE1983">
              <w:rPr>
                <w:szCs w:val="22"/>
              </w:rPr>
              <w:t xml:space="preserve"> 65)</w:t>
            </w:r>
          </w:p>
        </w:tc>
        <w:tc>
          <w:tcPr>
            <w:tcW w:w="2468" w:type="dxa"/>
          </w:tcPr>
          <w:p w:rsidR="00BE1983" w:rsidRPr="00BE1983" w:rsidRDefault="005136A9" w:rsidP="00BE1983">
            <w:pPr>
              <w:tabs>
                <w:tab w:val="left" w:pos="6435"/>
              </w:tabs>
              <w:spacing w:afterLines="30" w:after="72"/>
              <w:ind w:left="851" w:hanging="851"/>
              <w:jc w:val="right"/>
              <w:rPr>
                <w:szCs w:val="22"/>
              </w:rPr>
            </w:pPr>
            <w:r>
              <w:rPr>
                <w:szCs w:val="22"/>
              </w:rPr>
              <w:t xml:space="preserve">105 000 </w:t>
            </w:r>
            <w:r w:rsidR="00BE1983" w:rsidRPr="00BE1983">
              <w:rPr>
                <w:szCs w:val="22"/>
              </w:rPr>
              <w:t>€</w:t>
            </w:r>
          </w:p>
          <w:p w:rsidR="00BE1983" w:rsidRPr="00BE1983" w:rsidRDefault="00BE1983" w:rsidP="00BE1983">
            <w:pPr>
              <w:spacing w:afterLines="30" w:after="72"/>
              <w:ind w:left="851" w:hanging="851"/>
              <w:jc w:val="right"/>
              <w:rPr>
                <w:szCs w:val="22"/>
              </w:rPr>
            </w:pPr>
          </w:p>
        </w:tc>
      </w:tr>
      <w:tr w:rsidR="00BE1983" w:rsidRPr="00BE1983" w:rsidTr="00363EBC">
        <w:trPr>
          <w:trHeight w:val="827"/>
        </w:trPr>
        <w:tc>
          <w:tcPr>
            <w:tcW w:w="6592" w:type="dxa"/>
          </w:tcPr>
          <w:p w:rsidR="00BE1983" w:rsidRPr="00BE1983" w:rsidRDefault="00BE1983" w:rsidP="00BE1983">
            <w:pPr>
              <w:spacing w:afterLines="30" w:after="72"/>
              <w:rPr>
                <w:szCs w:val="22"/>
              </w:rPr>
            </w:pPr>
            <w:r w:rsidRPr="00BE1983">
              <w:rPr>
                <w:szCs w:val="22"/>
              </w:rPr>
              <w:lastRenderedPageBreak/>
              <w:t>- Charges financières liées à l’emprunt. Ces crédits correspondent aux remboursements des intérêts des enveloppes d’emprunt précédemment citées en dépenses d’investissement. (</w:t>
            </w:r>
            <w:proofErr w:type="gramStart"/>
            <w:r w:rsidRPr="00BE1983">
              <w:rPr>
                <w:szCs w:val="22"/>
              </w:rPr>
              <w:t>chapitre</w:t>
            </w:r>
            <w:proofErr w:type="gramEnd"/>
            <w:r w:rsidRPr="00BE1983">
              <w:rPr>
                <w:szCs w:val="22"/>
              </w:rPr>
              <w:t xml:space="preserve"> 66)</w:t>
            </w:r>
          </w:p>
        </w:tc>
        <w:tc>
          <w:tcPr>
            <w:tcW w:w="2468" w:type="dxa"/>
          </w:tcPr>
          <w:p w:rsidR="00BE1983" w:rsidRPr="00BE1983" w:rsidRDefault="00F34356" w:rsidP="00BE1983">
            <w:pPr>
              <w:tabs>
                <w:tab w:val="right" w:pos="7560"/>
              </w:tabs>
              <w:spacing w:afterLines="30" w:after="72"/>
              <w:ind w:left="851" w:hanging="851"/>
              <w:jc w:val="right"/>
              <w:rPr>
                <w:szCs w:val="22"/>
              </w:rPr>
            </w:pPr>
            <w:r>
              <w:rPr>
                <w:szCs w:val="22"/>
              </w:rPr>
              <w:t xml:space="preserve">377 000 </w:t>
            </w:r>
            <w:r w:rsidR="00BE1983" w:rsidRPr="00BE1983">
              <w:rPr>
                <w:szCs w:val="22"/>
              </w:rPr>
              <w:t>€</w:t>
            </w:r>
          </w:p>
          <w:p w:rsidR="00BE1983" w:rsidRPr="00BE1983" w:rsidRDefault="00BE1983" w:rsidP="00BE1983">
            <w:pPr>
              <w:spacing w:afterLines="30" w:after="72"/>
              <w:ind w:left="851" w:hanging="851"/>
              <w:jc w:val="right"/>
              <w:rPr>
                <w:szCs w:val="22"/>
              </w:rPr>
            </w:pPr>
          </w:p>
        </w:tc>
      </w:tr>
      <w:tr w:rsidR="00BE1983" w:rsidRPr="00BE1983" w:rsidTr="00363EBC">
        <w:trPr>
          <w:trHeight w:val="615"/>
        </w:trPr>
        <w:tc>
          <w:tcPr>
            <w:tcW w:w="6592" w:type="dxa"/>
          </w:tcPr>
          <w:p w:rsidR="00BE1983" w:rsidRPr="00BE1983" w:rsidRDefault="00BE1983" w:rsidP="00BE1983">
            <w:pPr>
              <w:spacing w:afterLines="30" w:after="72"/>
              <w:ind w:right="432"/>
              <w:rPr>
                <w:szCs w:val="22"/>
                <w:highlight w:val="yellow"/>
              </w:rPr>
            </w:pPr>
            <w:r w:rsidRPr="00BE1983">
              <w:rPr>
                <w:szCs w:val="22"/>
              </w:rPr>
              <w:t>- Dotation aux amortissements des immobilisations acquis</w:t>
            </w:r>
            <w:r w:rsidR="00E574BD">
              <w:rPr>
                <w:szCs w:val="22"/>
              </w:rPr>
              <w:t>es durant les années 2007 à 2017</w:t>
            </w:r>
            <w:r w:rsidRPr="00BE1983">
              <w:rPr>
                <w:szCs w:val="22"/>
              </w:rPr>
              <w:t>. (</w:t>
            </w:r>
            <w:proofErr w:type="gramStart"/>
            <w:r w:rsidRPr="00BE1983">
              <w:rPr>
                <w:szCs w:val="22"/>
              </w:rPr>
              <w:t>chapitre</w:t>
            </w:r>
            <w:proofErr w:type="gramEnd"/>
            <w:r w:rsidRPr="00BE1983">
              <w:rPr>
                <w:szCs w:val="22"/>
              </w:rPr>
              <w:t xml:space="preserve"> 042)</w:t>
            </w:r>
          </w:p>
        </w:tc>
        <w:tc>
          <w:tcPr>
            <w:tcW w:w="2468" w:type="dxa"/>
          </w:tcPr>
          <w:p w:rsidR="00BE1983" w:rsidRPr="00BE1983" w:rsidRDefault="00BB7073" w:rsidP="00BE1983">
            <w:pPr>
              <w:spacing w:afterLines="30" w:after="72"/>
              <w:ind w:left="851" w:hanging="851"/>
              <w:jc w:val="right"/>
              <w:rPr>
                <w:szCs w:val="22"/>
                <w:highlight w:val="yellow"/>
              </w:rPr>
            </w:pPr>
            <w:r>
              <w:rPr>
                <w:szCs w:val="22"/>
              </w:rPr>
              <w:t xml:space="preserve">3 030 000 </w:t>
            </w:r>
            <w:r w:rsidR="00BE1983" w:rsidRPr="00BE1983">
              <w:rPr>
                <w:szCs w:val="22"/>
              </w:rPr>
              <w:t>€</w:t>
            </w:r>
          </w:p>
        </w:tc>
      </w:tr>
      <w:tr w:rsidR="00BE1983" w:rsidRPr="00BE1983" w:rsidTr="00363EBC">
        <w:tc>
          <w:tcPr>
            <w:tcW w:w="6592" w:type="dxa"/>
          </w:tcPr>
          <w:p w:rsidR="00BE1983" w:rsidRPr="00BE1983" w:rsidRDefault="00BE1983" w:rsidP="00BE1983">
            <w:pPr>
              <w:spacing w:afterLines="30" w:after="72"/>
              <w:jc w:val="left"/>
              <w:rPr>
                <w:szCs w:val="22"/>
              </w:rPr>
            </w:pPr>
            <w:r w:rsidRPr="00BE1983">
              <w:rPr>
                <w:szCs w:val="22"/>
              </w:rPr>
              <w:t>- Opération d’ordre pour équilibrer la section d’investissement. (</w:t>
            </w:r>
            <w:proofErr w:type="gramStart"/>
            <w:r w:rsidRPr="00BE1983">
              <w:rPr>
                <w:szCs w:val="22"/>
              </w:rPr>
              <w:t>chapitre</w:t>
            </w:r>
            <w:proofErr w:type="gramEnd"/>
            <w:r w:rsidRPr="00BE1983">
              <w:rPr>
                <w:szCs w:val="22"/>
              </w:rPr>
              <w:t xml:space="preserve"> 023)</w:t>
            </w:r>
          </w:p>
        </w:tc>
        <w:tc>
          <w:tcPr>
            <w:tcW w:w="2468" w:type="dxa"/>
          </w:tcPr>
          <w:p w:rsidR="00BE1983" w:rsidRPr="00BE1983" w:rsidRDefault="00BB7073" w:rsidP="00BE1983">
            <w:pPr>
              <w:tabs>
                <w:tab w:val="right" w:pos="7560"/>
              </w:tabs>
              <w:spacing w:afterLines="30" w:after="72"/>
              <w:ind w:left="851" w:hanging="851"/>
              <w:jc w:val="right"/>
              <w:rPr>
                <w:szCs w:val="22"/>
              </w:rPr>
            </w:pPr>
            <w:r>
              <w:rPr>
                <w:szCs w:val="22"/>
              </w:rPr>
              <w:t xml:space="preserve">11 162 550 </w:t>
            </w:r>
            <w:r w:rsidR="00BE1983" w:rsidRPr="00BE1983">
              <w:rPr>
                <w:szCs w:val="22"/>
              </w:rPr>
              <w:t>€</w:t>
            </w:r>
          </w:p>
        </w:tc>
      </w:tr>
    </w:tbl>
    <w:p w:rsidR="00BE1983" w:rsidRPr="00BE1983" w:rsidRDefault="00BE1983" w:rsidP="00BE1983">
      <w:pPr>
        <w:rPr>
          <w:sz w:val="16"/>
          <w:szCs w:val="16"/>
          <w:highlight w:val="cyan"/>
        </w:rPr>
      </w:pPr>
    </w:p>
    <w:p w:rsidR="00BE1983" w:rsidRPr="00BE1983" w:rsidRDefault="00BE1983" w:rsidP="00BE1983">
      <w:pPr>
        <w:keepNext/>
        <w:tabs>
          <w:tab w:val="num" w:pos="360"/>
        </w:tabs>
        <w:spacing w:before="240" w:after="240"/>
        <w:outlineLvl w:val="0"/>
        <w:rPr>
          <w:rFonts w:cs="Arial"/>
          <w:b/>
          <w:szCs w:val="22"/>
          <w:u w:val="single"/>
        </w:rPr>
      </w:pPr>
      <w:r w:rsidRPr="00BE1983">
        <w:rPr>
          <w:rFonts w:cs="Arial"/>
          <w:b/>
          <w:szCs w:val="22"/>
          <w:u w:val="single"/>
        </w:rPr>
        <w:t>3- Caractéristiques essentielles de l’évolution du budget du syndicat</w:t>
      </w:r>
    </w:p>
    <w:p w:rsidR="00837AC6" w:rsidRDefault="00BE1983" w:rsidP="00837AC6">
      <w:pPr>
        <w:keepNext/>
        <w:suppressAutoHyphens/>
      </w:pPr>
      <w:r w:rsidRPr="00C97FCC">
        <w:t xml:space="preserve">Le budget global s’élève à </w:t>
      </w:r>
      <w:r w:rsidR="00463AC5" w:rsidRPr="00C97FCC">
        <w:t xml:space="preserve">156 913 300 </w:t>
      </w:r>
      <w:r w:rsidRPr="00C97FCC">
        <w:t xml:space="preserve">€, soit une baisse de </w:t>
      </w:r>
      <w:r w:rsidR="00C97FCC" w:rsidRPr="00C97FCC">
        <w:t>5,7</w:t>
      </w:r>
      <w:r w:rsidRPr="00C97FCC">
        <w:t xml:space="preserve">% par rapport au budget primitif 2017 de 166 377 850 €. Cette évolution </w:t>
      </w:r>
      <w:r w:rsidR="00C97FCC">
        <w:t xml:space="preserve">à la baisse </w:t>
      </w:r>
      <w:r w:rsidRPr="00C97FCC">
        <w:t xml:space="preserve">résulte principalement des participations publiques variables d’une année à l’autre selon les projets d’investissement du syndicat en matière de géothermie et de réalisation de réseau </w:t>
      </w:r>
      <w:r w:rsidR="00C97FCC">
        <w:t xml:space="preserve">très haut débit (THD). </w:t>
      </w:r>
      <w:r w:rsidR="002C7A67" w:rsidRPr="00C97FCC">
        <w:t xml:space="preserve">Enfin, 5,2 millions de flux financiers </w:t>
      </w:r>
      <w:r w:rsidR="005D2A8A">
        <w:t xml:space="preserve">exceptionnels </w:t>
      </w:r>
      <w:r w:rsidR="002C7A67" w:rsidRPr="00C97FCC">
        <w:t xml:space="preserve">en recettes et dépenses </w:t>
      </w:r>
      <w:r w:rsidR="002C7A67">
        <w:t>avaient été</w:t>
      </w:r>
      <w:r w:rsidR="002C7A67" w:rsidRPr="00C97FCC">
        <w:t xml:space="preserve"> budgétés</w:t>
      </w:r>
      <w:r w:rsidR="002C7A67">
        <w:t xml:space="preserve"> en 2017</w:t>
      </w:r>
      <w:r w:rsidR="002C7A67" w:rsidRPr="00C97FCC">
        <w:t xml:space="preserve"> dans le cadre </w:t>
      </w:r>
      <w:r w:rsidR="002C7A67">
        <w:t>de</w:t>
      </w:r>
      <w:r w:rsidR="002C7A67" w:rsidRPr="00C97FCC">
        <w:t xml:space="preserve"> </w:t>
      </w:r>
      <w:r w:rsidR="002C7A67">
        <w:t>la</w:t>
      </w:r>
      <w:r w:rsidR="002C7A67" w:rsidRPr="00C97FCC">
        <w:t xml:space="preserve"> fin anticipée de la </w:t>
      </w:r>
      <w:r w:rsidR="002C7A67">
        <w:t>délégation de service public</w:t>
      </w:r>
      <w:r w:rsidR="002C7A67" w:rsidRPr="00C97FCC">
        <w:t xml:space="preserve"> avec le dé</w:t>
      </w:r>
      <w:r w:rsidR="002C7A67">
        <w:t xml:space="preserve">légataire </w:t>
      </w:r>
      <w:proofErr w:type="spellStart"/>
      <w:r w:rsidR="002C7A67">
        <w:t>Opalys</w:t>
      </w:r>
      <w:proofErr w:type="spellEnd"/>
      <w:r w:rsidR="002C7A67">
        <w:t xml:space="preserve"> Télécom</w:t>
      </w:r>
      <w:r w:rsidR="002C7A67" w:rsidRPr="00C97FCC">
        <w:t>.</w:t>
      </w:r>
      <w:r w:rsidR="00837AC6" w:rsidRPr="00837AC6">
        <w:t xml:space="preserve"> </w:t>
      </w:r>
    </w:p>
    <w:p w:rsidR="00837AC6" w:rsidRPr="00C97FCC" w:rsidRDefault="00837AC6" w:rsidP="00837AC6">
      <w:pPr>
        <w:keepNext/>
        <w:suppressAutoHyphens/>
      </w:pPr>
      <w:r>
        <w:t xml:space="preserve">En 2018, 2,9 </w:t>
      </w:r>
      <w:r w:rsidRPr="00C97FCC">
        <w:t xml:space="preserve">millions de participations publiques sont prévus pour contribuer au financement de projets d’études Energies renouvelables et de réalisation de centrales géothermiques. </w:t>
      </w:r>
    </w:p>
    <w:p w:rsidR="002C7A67" w:rsidRPr="00C97FCC" w:rsidRDefault="002C7A67" w:rsidP="002C7A67">
      <w:pPr>
        <w:keepNext/>
        <w:suppressAutoHyphens/>
      </w:pPr>
    </w:p>
    <w:p w:rsidR="002C7A67" w:rsidRPr="00C97FCC" w:rsidRDefault="002C7A67" w:rsidP="002C7A67"/>
    <w:p w:rsidR="00BE1983" w:rsidRPr="00BE1983" w:rsidRDefault="00BE1983" w:rsidP="00BE1983">
      <w:pPr>
        <w:rPr>
          <w:rFonts w:cs="Arial"/>
          <w:szCs w:val="22"/>
        </w:rPr>
      </w:pPr>
      <w:r w:rsidRPr="00ED2F33">
        <w:rPr>
          <w:rFonts w:cs="Arial"/>
          <w:szCs w:val="22"/>
        </w:rPr>
        <w:t xml:space="preserve">Le budget prévisionnel 2018 du SIPPEREC reflète </w:t>
      </w:r>
      <w:r w:rsidR="000977E9">
        <w:rPr>
          <w:rFonts w:cs="Arial"/>
          <w:szCs w:val="22"/>
        </w:rPr>
        <w:t>la volonté du syndicat de développer les investissements concourant à la production d’énergies renouvelables</w:t>
      </w:r>
      <w:r w:rsidRPr="00ED2F33">
        <w:rPr>
          <w:rFonts w:cs="Arial"/>
          <w:szCs w:val="22"/>
        </w:rPr>
        <w:t xml:space="preserve"> </w:t>
      </w:r>
      <w:r w:rsidR="00ED2F33">
        <w:rPr>
          <w:rFonts w:cs="Arial"/>
          <w:szCs w:val="22"/>
        </w:rPr>
        <w:t>sur le territoire de l’Ile-de-</w:t>
      </w:r>
      <w:r w:rsidR="000977E9">
        <w:rPr>
          <w:rFonts w:cs="Arial"/>
          <w:szCs w:val="22"/>
        </w:rPr>
        <w:t>France et</w:t>
      </w:r>
      <w:r w:rsidRPr="00ED2F33">
        <w:rPr>
          <w:rFonts w:cs="Arial"/>
          <w:szCs w:val="22"/>
        </w:rPr>
        <w:t xml:space="preserve"> de</w:t>
      </w:r>
      <w:r w:rsidR="000977E9">
        <w:rPr>
          <w:rFonts w:cs="Arial"/>
          <w:szCs w:val="22"/>
        </w:rPr>
        <w:t xml:space="preserve"> participer à</w:t>
      </w:r>
      <w:r w:rsidRPr="00ED2F33">
        <w:rPr>
          <w:rFonts w:cs="Arial"/>
          <w:szCs w:val="22"/>
        </w:rPr>
        <w:t xml:space="preserve"> la maîtrise de l’énergie en aidant les collectivités à financer </w:t>
      </w:r>
      <w:r w:rsidR="00544711">
        <w:rPr>
          <w:rFonts w:cs="Arial"/>
          <w:szCs w:val="22"/>
        </w:rPr>
        <w:t>ces</w:t>
      </w:r>
      <w:r w:rsidRPr="00ED2F33">
        <w:rPr>
          <w:rFonts w:cs="Arial"/>
          <w:szCs w:val="22"/>
        </w:rPr>
        <w:t xml:space="preserve"> </w:t>
      </w:r>
      <w:r w:rsidR="00544711">
        <w:rPr>
          <w:rFonts w:cs="Arial"/>
          <w:szCs w:val="22"/>
        </w:rPr>
        <w:t>investissements</w:t>
      </w:r>
      <w:r w:rsidRPr="00ED2F33">
        <w:rPr>
          <w:rFonts w:cs="Arial"/>
          <w:szCs w:val="22"/>
        </w:rPr>
        <w:t xml:space="preserve"> spécifiques</w:t>
      </w:r>
      <w:r w:rsidR="00544711">
        <w:rPr>
          <w:rFonts w:cs="Arial"/>
          <w:szCs w:val="22"/>
        </w:rPr>
        <w:t>. De m</w:t>
      </w:r>
      <w:r w:rsidR="002C7A67">
        <w:rPr>
          <w:rFonts w:cs="Arial"/>
          <w:szCs w:val="22"/>
        </w:rPr>
        <w:t xml:space="preserve">ême, les </w:t>
      </w:r>
      <w:r w:rsidR="00544711">
        <w:rPr>
          <w:rFonts w:cs="Arial"/>
          <w:szCs w:val="22"/>
        </w:rPr>
        <w:t xml:space="preserve">programmes d’investissement pour 2018 du Syndicat permettent </w:t>
      </w:r>
      <w:r w:rsidR="000977E9">
        <w:rPr>
          <w:rFonts w:cs="Arial"/>
          <w:szCs w:val="22"/>
        </w:rPr>
        <w:t>de rénover</w:t>
      </w:r>
      <w:r w:rsidR="00544711">
        <w:rPr>
          <w:rFonts w:cs="Arial"/>
          <w:szCs w:val="22"/>
        </w:rPr>
        <w:t xml:space="preserve"> le</w:t>
      </w:r>
      <w:r w:rsidRPr="00ED2F33">
        <w:rPr>
          <w:rFonts w:cs="Arial"/>
          <w:szCs w:val="22"/>
        </w:rPr>
        <w:t xml:space="preserve"> patrimoine</w:t>
      </w:r>
      <w:r w:rsidR="00544711">
        <w:rPr>
          <w:rFonts w:cs="Arial"/>
          <w:szCs w:val="22"/>
        </w:rPr>
        <w:t xml:space="preserve"> des collectivités </w:t>
      </w:r>
      <w:r w:rsidRPr="00ED2F33">
        <w:rPr>
          <w:rFonts w:cs="Arial"/>
          <w:szCs w:val="22"/>
        </w:rPr>
        <w:t xml:space="preserve">(réseaux et colonnes montantes) de distribution publique d’électricité et d’étendre la couverture des réseaux câblés et très haut débit </w:t>
      </w:r>
      <w:r w:rsidR="00544711">
        <w:rPr>
          <w:rFonts w:cs="Arial"/>
          <w:szCs w:val="22"/>
        </w:rPr>
        <w:t>à</w:t>
      </w:r>
      <w:r w:rsidRPr="00ED2F33">
        <w:rPr>
          <w:rFonts w:cs="Arial"/>
          <w:szCs w:val="22"/>
        </w:rPr>
        <w:t xml:space="preserve"> l’ensemble du territoire d’Ile-de-France.</w:t>
      </w:r>
      <w:r w:rsidRPr="00BE1983">
        <w:rPr>
          <w:rFonts w:cs="Arial"/>
          <w:szCs w:val="22"/>
        </w:rPr>
        <w:t xml:space="preserve"> </w:t>
      </w:r>
    </w:p>
    <w:p w:rsidR="00BE1983" w:rsidRPr="00BE1983" w:rsidRDefault="00BE1983" w:rsidP="00BE1983">
      <w:pPr>
        <w:rPr>
          <w:rFonts w:cs="Arial"/>
          <w:szCs w:val="22"/>
        </w:rPr>
      </w:pPr>
    </w:p>
    <w:p w:rsidR="00BE1983" w:rsidRPr="00BE1983" w:rsidRDefault="00BE1983" w:rsidP="00BE1983">
      <w:pPr>
        <w:rPr>
          <w:rFonts w:cs="Arial"/>
          <w:szCs w:val="22"/>
        </w:rPr>
      </w:pPr>
      <w:r w:rsidRPr="00BE1983">
        <w:t>Le projet de budget primitif d</w:t>
      </w:r>
      <w:r>
        <w:t>e l’exercice 2018</w:t>
      </w:r>
      <w:r w:rsidRPr="00BE1983">
        <w:t xml:space="preserve"> peut être consulté </w:t>
      </w:r>
      <w:r w:rsidRPr="00BE1983">
        <w:rPr>
          <w:rFonts w:cs="Arial"/>
          <w:szCs w:val="22"/>
        </w:rPr>
        <w:t>au siège du syndicat aux heures d’ouverture des bureaux.</w:t>
      </w:r>
    </w:p>
    <w:p w:rsidR="00BE1983" w:rsidRPr="00BE1983" w:rsidRDefault="00BE1983" w:rsidP="00BE1983">
      <w:pPr>
        <w:rPr>
          <w:rFonts w:cs="Arial"/>
          <w:szCs w:val="22"/>
        </w:rPr>
      </w:pPr>
    </w:p>
    <w:p w:rsidR="00BE1983" w:rsidRPr="00BE1983" w:rsidRDefault="00BE1983" w:rsidP="00BE1983">
      <w:pPr>
        <w:spacing w:before="240" w:after="240"/>
        <w:jc w:val="center"/>
        <w:outlineLvl w:val="0"/>
        <w:rPr>
          <w:rFonts w:cs="Arial"/>
          <w:b/>
          <w:bCs/>
          <w:kern w:val="28"/>
          <w:szCs w:val="22"/>
        </w:rPr>
      </w:pPr>
      <w:r w:rsidRPr="00BE1983">
        <w:rPr>
          <w:rFonts w:cs="Arial"/>
          <w:b/>
          <w:bCs/>
          <w:kern w:val="28"/>
          <w:szCs w:val="22"/>
        </w:rPr>
        <w:t>Conclusion</w:t>
      </w:r>
    </w:p>
    <w:p w:rsidR="00BE1983" w:rsidRPr="00BE1983" w:rsidRDefault="00BE1983" w:rsidP="00BE1983">
      <w:pPr>
        <w:rPr>
          <w:rFonts w:cs="Arial"/>
          <w:szCs w:val="22"/>
        </w:rPr>
      </w:pPr>
    </w:p>
    <w:p w:rsidR="00BE1983" w:rsidRPr="00BE1983" w:rsidRDefault="00BE1983" w:rsidP="00561706">
      <w:pPr>
        <w:rPr>
          <w:rFonts w:cs="Arial"/>
          <w:szCs w:val="22"/>
        </w:rPr>
      </w:pPr>
      <w:r w:rsidRPr="00BE1983">
        <w:t xml:space="preserve">Sous réserve des explications complémentaires que souhaiteraient recevoir les membres du comité, le bureau propose au comité d’adopter </w:t>
      </w:r>
      <w:r w:rsidR="00561706">
        <w:t xml:space="preserve">la </w:t>
      </w:r>
      <w:r w:rsidRPr="00BE1983">
        <w:t>délibération approuvant l</w:t>
      </w:r>
      <w:r w:rsidR="00561706">
        <w:t>e projet de budget primitif 2018</w:t>
      </w:r>
      <w:r w:rsidRPr="00BE1983">
        <w:t>.</w:t>
      </w:r>
    </w:p>
    <w:p w:rsidR="00BE1983" w:rsidRPr="00BE1983" w:rsidRDefault="00BE1983" w:rsidP="00BE1983">
      <w:pPr>
        <w:spacing w:before="60"/>
      </w:pPr>
    </w:p>
    <w:p w:rsidR="00494009" w:rsidRPr="00B22E73" w:rsidRDefault="000678AA" w:rsidP="00494009">
      <w:pPr>
        <w:rPr>
          <w:rFonts w:cs="Arial"/>
          <w:szCs w:val="22"/>
        </w:rPr>
      </w:pPr>
      <w:r w:rsidRPr="00B22E73">
        <w:rPr>
          <w:rFonts w:cs="Arial"/>
          <w:szCs w:val="22"/>
        </w:rPr>
        <w:br w:type="page"/>
      </w:r>
    </w:p>
    <w:p w:rsidR="0074330B" w:rsidRPr="00B22E73" w:rsidRDefault="001D6CC0" w:rsidP="00494009">
      <w:pPr>
        <w:rPr>
          <w:rFonts w:cs="Arial"/>
          <w:szCs w:val="22"/>
        </w:rPr>
      </w:pPr>
      <w:r>
        <w:rPr>
          <w:rFonts w:cs="Arial"/>
          <w:noProof/>
          <w:szCs w:val="22"/>
        </w:rPr>
        <w:lastRenderedPageBreak/>
        <w:drawing>
          <wp:anchor distT="0" distB="0" distL="114300" distR="114300" simplePos="0" relativeHeight="251658240" behindDoc="0" locked="0" layoutInCell="1" allowOverlap="1">
            <wp:simplePos x="0" y="0"/>
            <wp:positionH relativeFrom="column">
              <wp:posOffset>27940</wp:posOffset>
            </wp:positionH>
            <wp:positionV relativeFrom="paragraph">
              <wp:posOffset>-36830</wp:posOffset>
            </wp:positionV>
            <wp:extent cx="990600" cy="1181100"/>
            <wp:effectExtent l="0" t="0" r="0" b="0"/>
            <wp:wrapNone/>
            <wp:docPr id="23" name="Image 2" descr="Logo_sippe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sippere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330B" w:rsidRPr="00B22E73" w:rsidRDefault="0074330B" w:rsidP="00494009">
      <w:pPr>
        <w:rPr>
          <w:rFonts w:cs="Arial"/>
          <w:szCs w:val="22"/>
        </w:rPr>
      </w:pPr>
    </w:p>
    <w:p w:rsidR="0074330B" w:rsidRPr="00B22E73" w:rsidRDefault="0074330B" w:rsidP="00494009">
      <w:pPr>
        <w:rPr>
          <w:rFonts w:cs="Arial"/>
          <w:szCs w:val="22"/>
        </w:rPr>
      </w:pPr>
    </w:p>
    <w:p w:rsidR="00D36F38" w:rsidRPr="00B22E73" w:rsidRDefault="00D36F38" w:rsidP="000C2BF3">
      <w:pPr>
        <w:pStyle w:val="Titre1"/>
        <w:jc w:val="center"/>
        <w:rPr>
          <w:bdr w:val="single" w:sz="4" w:space="0" w:color="auto"/>
        </w:rPr>
      </w:pPr>
      <w:r w:rsidRPr="00B22E73">
        <w:rPr>
          <w:bdr w:val="single" w:sz="4" w:space="0" w:color="auto"/>
        </w:rPr>
        <w:t>PROJET</w:t>
      </w:r>
    </w:p>
    <w:p w:rsidR="00D36F38" w:rsidRPr="00B22E73" w:rsidRDefault="00D36F38" w:rsidP="00D36F38">
      <w:pPr>
        <w:rPr>
          <w:rFonts w:cs="Arial"/>
        </w:rPr>
      </w:pPr>
    </w:p>
    <w:p w:rsidR="00494009" w:rsidRPr="00A6250E" w:rsidRDefault="00494009" w:rsidP="000C2BF3">
      <w:pPr>
        <w:pStyle w:val="Titrededoc"/>
        <w:rPr>
          <w:smallCaps/>
        </w:rPr>
      </w:pPr>
      <w:r w:rsidRPr="00A6250E">
        <w:rPr>
          <w:smallCaps/>
        </w:rPr>
        <w:t>Comité du</w:t>
      </w:r>
      <w:r w:rsidR="004870E2">
        <w:rPr>
          <w:smallCaps/>
        </w:rPr>
        <w:t xml:space="preserve"> 7</w:t>
      </w:r>
      <w:r w:rsidR="00B51217" w:rsidRPr="00A6250E">
        <w:rPr>
          <w:smallCaps/>
        </w:rPr>
        <w:t xml:space="preserve"> </w:t>
      </w:r>
      <w:r w:rsidR="004870E2">
        <w:rPr>
          <w:smallCaps/>
        </w:rPr>
        <w:t>décembre</w:t>
      </w:r>
      <w:r w:rsidR="00B51217" w:rsidRPr="00A6250E">
        <w:rPr>
          <w:smallCaps/>
        </w:rPr>
        <w:t xml:space="preserve"> 20</w:t>
      </w:r>
      <w:r w:rsidR="00664EC8" w:rsidRPr="00A6250E">
        <w:rPr>
          <w:smallCaps/>
        </w:rPr>
        <w:t>1</w:t>
      </w:r>
      <w:r w:rsidR="004870E2">
        <w:rPr>
          <w:smallCaps/>
        </w:rPr>
        <w:t>7</w:t>
      </w:r>
    </w:p>
    <w:p w:rsidR="00494009" w:rsidRPr="00B22E73" w:rsidRDefault="00494009" w:rsidP="00494009">
      <w:pPr>
        <w:rPr>
          <w:rFonts w:cs="Arial"/>
          <w:szCs w:val="22"/>
        </w:rPr>
      </w:pPr>
    </w:p>
    <w:p w:rsidR="001F55C0" w:rsidRPr="00B22E73" w:rsidRDefault="001F55C0" w:rsidP="00494009">
      <w:pPr>
        <w:rPr>
          <w:rFonts w:cs="Arial"/>
          <w:szCs w:val="22"/>
        </w:rPr>
      </w:pPr>
    </w:p>
    <w:p w:rsidR="00494009" w:rsidRPr="00B22E73" w:rsidRDefault="004870E2" w:rsidP="00494009">
      <w:pPr>
        <w:rPr>
          <w:rFonts w:cs="Arial"/>
          <w:szCs w:val="22"/>
        </w:rPr>
      </w:pPr>
      <w:r>
        <w:rPr>
          <w:rFonts w:cs="Arial"/>
          <w:szCs w:val="22"/>
        </w:rPr>
        <w:t>SDT</w:t>
      </w:r>
    </w:p>
    <w:p w:rsidR="00494009" w:rsidRPr="00B22E73" w:rsidRDefault="00664EC8" w:rsidP="00494009">
      <w:pPr>
        <w:rPr>
          <w:rFonts w:cs="Arial"/>
          <w:szCs w:val="22"/>
        </w:rPr>
      </w:pPr>
      <w:r w:rsidRPr="00B22E73">
        <w:rPr>
          <w:rFonts w:cs="Arial"/>
          <w:szCs w:val="22"/>
        </w:rPr>
        <w:t>Annexe n°201</w:t>
      </w:r>
      <w:r w:rsidR="004870E2">
        <w:rPr>
          <w:rFonts w:cs="Arial"/>
          <w:szCs w:val="22"/>
        </w:rPr>
        <w:t>7</w:t>
      </w:r>
      <w:r w:rsidR="009F0D72" w:rsidRPr="00B22E73">
        <w:rPr>
          <w:rFonts w:cs="Arial"/>
          <w:szCs w:val="22"/>
        </w:rPr>
        <w:t>-</w:t>
      </w:r>
      <w:r w:rsidR="004870E2">
        <w:rPr>
          <w:rFonts w:cs="Arial"/>
          <w:szCs w:val="22"/>
        </w:rPr>
        <w:t>12</w:t>
      </w:r>
      <w:r w:rsidR="009F0D72" w:rsidRPr="00B22E73">
        <w:rPr>
          <w:rFonts w:cs="Arial"/>
          <w:szCs w:val="22"/>
        </w:rPr>
        <w:t>-</w:t>
      </w:r>
      <w:r w:rsidR="00031D23" w:rsidRPr="00B22E73">
        <w:rPr>
          <w:rFonts w:cs="Arial"/>
          <w:szCs w:val="22"/>
        </w:rPr>
        <w:t>xx</w:t>
      </w:r>
    </w:p>
    <w:p w:rsidR="00494009" w:rsidRPr="00B22E73" w:rsidRDefault="00494009" w:rsidP="00494009">
      <w:pPr>
        <w:rPr>
          <w:rFonts w:cs="Arial"/>
          <w:szCs w:val="22"/>
        </w:rPr>
      </w:pPr>
      <w:proofErr w:type="gramStart"/>
      <w:r w:rsidRPr="00B22E73">
        <w:rPr>
          <w:rFonts w:cs="Arial"/>
          <w:szCs w:val="22"/>
        </w:rPr>
        <w:t>au</w:t>
      </w:r>
      <w:proofErr w:type="gramEnd"/>
      <w:r w:rsidRPr="00B22E73">
        <w:rPr>
          <w:rFonts w:cs="Arial"/>
          <w:szCs w:val="22"/>
        </w:rPr>
        <w:t xml:space="preserve"> procès verbal</w:t>
      </w:r>
    </w:p>
    <w:p w:rsidR="001F55C0" w:rsidRPr="00B22E73" w:rsidRDefault="001F55C0" w:rsidP="001F55C0">
      <w:pPr>
        <w:pBdr>
          <w:bottom w:val="single" w:sz="4" w:space="1" w:color="auto"/>
        </w:pBdr>
        <w:rPr>
          <w:rFonts w:cs="Arial"/>
          <w:szCs w:val="22"/>
        </w:rPr>
      </w:pPr>
    </w:p>
    <w:p w:rsidR="001F55C0" w:rsidRPr="00B22E73" w:rsidRDefault="001F55C0" w:rsidP="001F55C0">
      <w:pPr>
        <w:rPr>
          <w:rFonts w:cs="Arial"/>
          <w:szCs w:val="22"/>
        </w:rPr>
      </w:pPr>
    </w:p>
    <w:p w:rsidR="004870E2" w:rsidRPr="00B22E73" w:rsidRDefault="00494009" w:rsidP="004870E2">
      <w:pPr>
        <w:pStyle w:val="Objet"/>
        <w:tabs>
          <w:tab w:val="left" w:pos="1418"/>
        </w:tabs>
        <w:ind w:left="1418" w:hanging="1418"/>
      </w:pPr>
      <w:r w:rsidRPr="00B22E73">
        <w:rPr>
          <w:b/>
          <w:u w:val="single"/>
        </w:rPr>
        <w:t>OBJET</w:t>
      </w:r>
      <w:r w:rsidRPr="00B22E73">
        <w:t xml:space="preserve"> : </w:t>
      </w:r>
      <w:r w:rsidRPr="00B22E73">
        <w:tab/>
      </w:r>
      <w:r w:rsidR="004870E2" w:rsidRPr="00EE2718">
        <w:t>Bu</w:t>
      </w:r>
      <w:r w:rsidR="004870E2">
        <w:t>dget primitif de l’exercice 2018</w:t>
      </w:r>
    </w:p>
    <w:p w:rsidR="00494009" w:rsidRPr="00B22E73" w:rsidRDefault="00494009" w:rsidP="004870E2">
      <w:pPr>
        <w:pStyle w:val="Objet"/>
        <w:tabs>
          <w:tab w:val="left" w:pos="1418"/>
        </w:tabs>
        <w:ind w:left="1418" w:hanging="1418"/>
      </w:pPr>
    </w:p>
    <w:p w:rsidR="001F55C0" w:rsidRPr="00B22E73" w:rsidRDefault="001F55C0" w:rsidP="00494009">
      <w:pPr>
        <w:rPr>
          <w:rFonts w:cs="Arial"/>
          <w:szCs w:val="22"/>
        </w:rPr>
      </w:pPr>
    </w:p>
    <w:p w:rsidR="004870E2" w:rsidRPr="004870E2" w:rsidRDefault="004870E2" w:rsidP="004870E2">
      <w:pPr>
        <w:rPr>
          <w:rFonts w:cs="Arial"/>
          <w:szCs w:val="22"/>
        </w:rPr>
      </w:pPr>
      <w:r w:rsidRPr="004870E2">
        <w:rPr>
          <w:rFonts w:cs="Arial"/>
          <w:szCs w:val="22"/>
        </w:rPr>
        <w:t>Le Comité,</w:t>
      </w:r>
    </w:p>
    <w:p w:rsidR="004870E2" w:rsidRPr="004870E2" w:rsidRDefault="004870E2" w:rsidP="004870E2">
      <w:pPr>
        <w:rPr>
          <w:rFonts w:cs="Arial"/>
          <w:szCs w:val="22"/>
        </w:rPr>
      </w:pPr>
    </w:p>
    <w:p w:rsidR="004870E2" w:rsidRPr="004870E2" w:rsidRDefault="004870E2" w:rsidP="004870E2">
      <w:pPr>
        <w:rPr>
          <w:rFonts w:cs="Arial"/>
          <w:szCs w:val="22"/>
        </w:rPr>
      </w:pPr>
      <w:r w:rsidRPr="004870E2">
        <w:rPr>
          <w:rFonts w:cs="Arial"/>
          <w:szCs w:val="22"/>
        </w:rPr>
        <w:t>Vu le Code Général des Collectivités Territoriales,</w:t>
      </w:r>
    </w:p>
    <w:p w:rsidR="004870E2" w:rsidRPr="004870E2" w:rsidRDefault="004870E2" w:rsidP="004870E2">
      <w:pPr>
        <w:rPr>
          <w:rFonts w:cs="Arial"/>
          <w:szCs w:val="22"/>
        </w:rPr>
      </w:pPr>
    </w:p>
    <w:p w:rsidR="004870E2" w:rsidRPr="004870E2" w:rsidRDefault="004870E2" w:rsidP="004870E2">
      <w:pPr>
        <w:rPr>
          <w:rFonts w:cs="Arial"/>
          <w:szCs w:val="22"/>
        </w:rPr>
      </w:pPr>
      <w:r w:rsidRPr="004870E2">
        <w:rPr>
          <w:rFonts w:cs="Arial"/>
          <w:szCs w:val="22"/>
        </w:rPr>
        <w:t>Vu la loi du 22 juin 1994 portant dispositions budgétaires et comptables relatives aux collectivités territoriales,</w:t>
      </w:r>
    </w:p>
    <w:p w:rsidR="004870E2" w:rsidRPr="004870E2" w:rsidRDefault="004870E2" w:rsidP="004870E2">
      <w:pPr>
        <w:rPr>
          <w:rFonts w:cs="Arial"/>
          <w:szCs w:val="22"/>
        </w:rPr>
      </w:pPr>
    </w:p>
    <w:p w:rsidR="004870E2" w:rsidRPr="004870E2" w:rsidRDefault="004870E2" w:rsidP="004870E2">
      <w:pPr>
        <w:rPr>
          <w:rFonts w:cs="Arial"/>
          <w:szCs w:val="22"/>
        </w:rPr>
      </w:pPr>
      <w:r>
        <w:rPr>
          <w:rFonts w:cs="Arial"/>
          <w:szCs w:val="22"/>
        </w:rPr>
        <w:t>Vu l’arrêté du 21 décembre 2016</w:t>
      </w:r>
      <w:r w:rsidRPr="004870E2">
        <w:rPr>
          <w:rFonts w:cs="Arial"/>
          <w:szCs w:val="22"/>
        </w:rPr>
        <w:t xml:space="preserve"> relatif à l’instruction budgétaire et comptable M14,</w:t>
      </w:r>
    </w:p>
    <w:p w:rsidR="004870E2" w:rsidRPr="004870E2" w:rsidRDefault="004870E2" w:rsidP="004870E2">
      <w:pPr>
        <w:rPr>
          <w:rFonts w:cs="Arial"/>
          <w:szCs w:val="22"/>
        </w:rPr>
      </w:pPr>
    </w:p>
    <w:p w:rsidR="004870E2" w:rsidRPr="004870E2" w:rsidRDefault="004870E2" w:rsidP="004870E2">
      <w:pPr>
        <w:rPr>
          <w:rFonts w:cs="Arial"/>
          <w:szCs w:val="22"/>
        </w:rPr>
      </w:pPr>
      <w:r w:rsidRPr="004870E2">
        <w:rPr>
          <w:rFonts w:cs="Arial"/>
          <w:szCs w:val="22"/>
        </w:rPr>
        <w:t>Vu la délibération du comité n° 96-54 en date du 13 décembre 1996 relative aux modalités de présentation et de vote des documents budgétaires du syndicat,</w:t>
      </w:r>
    </w:p>
    <w:p w:rsidR="004870E2" w:rsidRPr="004870E2" w:rsidRDefault="004870E2" w:rsidP="004870E2">
      <w:pPr>
        <w:rPr>
          <w:rFonts w:cs="Arial"/>
          <w:szCs w:val="22"/>
        </w:rPr>
      </w:pPr>
    </w:p>
    <w:p w:rsidR="004870E2" w:rsidRPr="004870E2" w:rsidRDefault="004870E2" w:rsidP="004870E2">
      <w:pPr>
        <w:rPr>
          <w:rFonts w:cs="Arial"/>
          <w:szCs w:val="22"/>
        </w:rPr>
      </w:pPr>
      <w:r w:rsidRPr="004870E2">
        <w:rPr>
          <w:rFonts w:cs="Arial"/>
          <w:szCs w:val="22"/>
        </w:rPr>
        <w:t>Vu la délibération du comité n° 2001-15 en date du 18 avril 2001 relative aux modalités de vote des documents budgétaires,</w:t>
      </w:r>
    </w:p>
    <w:p w:rsidR="004870E2" w:rsidRPr="004870E2" w:rsidRDefault="004870E2" w:rsidP="004870E2">
      <w:pPr>
        <w:rPr>
          <w:rFonts w:cs="Arial"/>
          <w:szCs w:val="22"/>
        </w:rPr>
      </w:pPr>
    </w:p>
    <w:p w:rsidR="00B51217" w:rsidRDefault="004870E2" w:rsidP="001D6CC0">
      <w:pPr>
        <w:rPr>
          <w:rFonts w:cs="Arial"/>
          <w:szCs w:val="22"/>
        </w:rPr>
      </w:pPr>
      <w:r w:rsidRPr="004870E2">
        <w:rPr>
          <w:rFonts w:cs="Arial"/>
          <w:szCs w:val="22"/>
        </w:rPr>
        <w:t xml:space="preserve">Vu la délibération du comité </w:t>
      </w:r>
      <w:r w:rsidR="0007689A">
        <w:rPr>
          <w:rFonts w:cs="Arial"/>
          <w:szCs w:val="22"/>
        </w:rPr>
        <w:t>n° 2017-10-9</w:t>
      </w:r>
      <w:r w:rsidRPr="004870E2">
        <w:rPr>
          <w:rFonts w:cs="Arial"/>
          <w:szCs w:val="22"/>
        </w:rPr>
        <w:t xml:space="preserve">3 en date du </w:t>
      </w:r>
      <w:r w:rsidR="0007689A">
        <w:rPr>
          <w:rFonts w:cs="Arial"/>
          <w:szCs w:val="22"/>
        </w:rPr>
        <w:t>17</w:t>
      </w:r>
      <w:r w:rsidRPr="004870E2">
        <w:rPr>
          <w:rFonts w:cs="Arial"/>
          <w:szCs w:val="22"/>
        </w:rPr>
        <w:t xml:space="preserve"> octobre 201</w:t>
      </w:r>
      <w:r w:rsidR="0007689A">
        <w:rPr>
          <w:rFonts w:cs="Arial"/>
          <w:szCs w:val="22"/>
        </w:rPr>
        <w:t>7</w:t>
      </w:r>
      <w:r w:rsidRPr="004870E2">
        <w:rPr>
          <w:rFonts w:cs="Arial"/>
          <w:szCs w:val="22"/>
        </w:rPr>
        <w:t xml:space="preserve"> approuvant le </w:t>
      </w:r>
      <w:r w:rsidR="00B2438D" w:rsidRPr="004870E2">
        <w:rPr>
          <w:rFonts w:cs="Arial"/>
          <w:szCs w:val="22"/>
        </w:rPr>
        <w:t>rapport d’orientations</w:t>
      </w:r>
      <w:r w:rsidR="0007689A">
        <w:rPr>
          <w:rFonts w:cs="Arial"/>
          <w:szCs w:val="22"/>
        </w:rPr>
        <w:t xml:space="preserve"> budgétaires de l’exercice 2018</w:t>
      </w:r>
      <w:r w:rsidRPr="004870E2">
        <w:rPr>
          <w:rFonts w:cs="Arial"/>
          <w:szCs w:val="22"/>
        </w:rPr>
        <w:t>,</w:t>
      </w:r>
    </w:p>
    <w:p w:rsidR="001D6CC0" w:rsidRDefault="001D6CC0" w:rsidP="001D6CC0">
      <w:pPr>
        <w:rPr>
          <w:rFonts w:cs="Arial"/>
          <w:szCs w:val="22"/>
        </w:rPr>
      </w:pPr>
    </w:p>
    <w:p w:rsidR="001D6CC0" w:rsidRPr="00B22E73" w:rsidRDefault="001D6CC0" w:rsidP="001D6CC0">
      <w:pPr>
        <w:rPr>
          <w:rFonts w:cs="Arial"/>
          <w:szCs w:val="22"/>
        </w:rPr>
      </w:pPr>
    </w:p>
    <w:p w:rsidR="00494009" w:rsidRPr="00B22E73" w:rsidRDefault="00494009" w:rsidP="001D6CC0">
      <w:pPr>
        <w:jc w:val="center"/>
        <w:rPr>
          <w:rFonts w:cs="Arial"/>
          <w:b/>
          <w:szCs w:val="22"/>
        </w:rPr>
      </w:pPr>
      <w:r w:rsidRPr="00B22E73">
        <w:rPr>
          <w:rFonts w:cs="Arial"/>
          <w:b/>
          <w:szCs w:val="22"/>
        </w:rPr>
        <w:t xml:space="preserve">D E L I B E R E </w:t>
      </w:r>
    </w:p>
    <w:p w:rsidR="0007689A" w:rsidRDefault="0007689A" w:rsidP="0007689A">
      <w:pPr>
        <w:jc w:val="center"/>
        <w:rPr>
          <w:rFonts w:cs="Arial"/>
          <w:szCs w:val="22"/>
        </w:rPr>
      </w:pPr>
    </w:p>
    <w:p w:rsidR="001D6CC0" w:rsidRPr="00B22E73" w:rsidRDefault="001D6CC0" w:rsidP="0007689A">
      <w:pPr>
        <w:jc w:val="center"/>
        <w:rPr>
          <w:rFonts w:cs="Arial"/>
          <w:szCs w:val="22"/>
        </w:rPr>
      </w:pPr>
    </w:p>
    <w:p w:rsidR="0007689A" w:rsidRDefault="0007689A" w:rsidP="0007689A">
      <w:pPr>
        <w:ind w:left="1843" w:hanging="1843"/>
        <w:rPr>
          <w:rFonts w:cs="Arial"/>
          <w:szCs w:val="22"/>
        </w:rPr>
      </w:pPr>
      <w:r>
        <w:rPr>
          <w:rFonts w:cs="Arial"/>
          <w:b/>
          <w:u w:val="single"/>
        </w:rPr>
        <w:t xml:space="preserve">Article Unique </w:t>
      </w:r>
      <w:r w:rsidRPr="00EE2718">
        <w:rPr>
          <w:rFonts w:cs="Arial"/>
          <w:b/>
          <w:u w:val="single"/>
        </w:rPr>
        <w:t>:</w:t>
      </w:r>
      <w:r w:rsidRPr="00EE2718">
        <w:tab/>
      </w:r>
      <w:r w:rsidRPr="006E0BF7">
        <w:t>Est approuvé le bu</w:t>
      </w:r>
      <w:r>
        <w:t>dget prim</w:t>
      </w:r>
      <w:r w:rsidR="00BC5F88">
        <w:t>itif de l’exercice 2018</w:t>
      </w:r>
      <w:r w:rsidRPr="006E0BF7">
        <w:t xml:space="preserve"> équilibré </w:t>
      </w:r>
      <w:r>
        <w:t xml:space="preserve">en </w:t>
      </w:r>
      <w:r w:rsidRPr="00704B96">
        <w:t xml:space="preserve">dépenses et en recettes à hauteur de </w:t>
      </w:r>
      <w:r w:rsidR="00F540D1" w:rsidRPr="00F540D1">
        <w:t>110 527</w:t>
      </w:r>
      <w:r w:rsidR="00F540D1">
        <w:t> </w:t>
      </w:r>
      <w:r w:rsidR="00F540D1" w:rsidRPr="00F540D1">
        <w:t>200</w:t>
      </w:r>
      <w:r w:rsidR="00F540D1">
        <w:t xml:space="preserve"> €</w:t>
      </w:r>
      <w:r w:rsidR="00F540D1" w:rsidRPr="00F540D1">
        <w:t xml:space="preserve"> </w:t>
      </w:r>
      <w:r>
        <w:t xml:space="preserve">à la section de fonctionnement </w:t>
      </w:r>
      <w:r w:rsidRPr="00704B96">
        <w:t xml:space="preserve">et </w:t>
      </w:r>
      <w:r w:rsidR="006B1B31">
        <w:t>46 386 100</w:t>
      </w:r>
      <w:r w:rsidR="006B1B31" w:rsidRPr="00704B96">
        <w:t xml:space="preserve"> </w:t>
      </w:r>
      <w:r w:rsidR="006B1B31">
        <w:t xml:space="preserve">€ </w:t>
      </w:r>
      <w:r>
        <w:t>à la section d’investissement.</w:t>
      </w:r>
    </w:p>
    <w:p w:rsidR="001F55C0" w:rsidRDefault="001F55C0" w:rsidP="001F55C0">
      <w:pPr>
        <w:rPr>
          <w:rFonts w:cs="Arial"/>
          <w:szCs w:val="22"/>
        </w:rPr>
      </w:pPr>
    </w:p>
    <w:p w:rsidR="008A1196" w:rsidRDefault="008A1196" w:rsidP="001F55C0">
      <w:pPr>
        <w:rPr>
          <w:rFonts w:cs="Arial"/>
          <w:szCs w:val="22"/>
        </w:rPr>
      </w:pPr>
    </w:p>
    <w:p w:rsidR="001D6CC0" w:rsidRPr="00B22E73" w:rsidRDefault="001D6CC0" w:rsidP="001F55C0">
      <w:pPr>
        <w:rPr>
          <w:rFonts w:cs="Arial"/>
          <w:szCs w:val="22"/>
        </w:rPr>
      </w:pPr>
    </w:p>
    <w:tbl>
      <w:tblPr>
        <w:tblW w:w="10200" w:type="dxa"/>
        <w:tblLook w:val="04A0" w:firstRow="1" w:lastRow="0" w:firstColumn="1" w:lastColumn="0" w:noHBand="0" w:noVBand="1"/>
      </w:tblPr>
      <w:tblGrid>
        <w:gridCol w:w="4928"/>
        <w:gridCol w:w="5272"/>
      </w:tblGrid>
      <w:tr w:rsidR="008C3814" w:rsidRPr="001B3033" w:rsidTr="001D6CC0">
        <w:trPr>
          <w:trHeight w:val="1247"/>
        </w:trPr>
        <w:tc>
          <w:tcPr>
            <w:tcW w:w="4928" w:type="dxa"/>
          </w:tcPr>
          <w:p w:rsidR="008C3814" w:rsidRPr="001B3033" w:rsidRDefault="008C3814" w:rsidP="00095D72">
            <w:pPr>
              <w:ind w:right="-1063"/>
              <w:rPr>
                <w:rFonts w:cs="Arial"/>
                <w:szCs w:val="22"/>
              </w:rPr>
            </w:pPr>
            <w:r w:rsidRPr="001B3033">
              <w:rPr>
                <w:rFonts w:cs="Arial"/>
                <w:szCs w:val="22"/>
              </w:rPr>
              <w:t>Certifié exécutoire, le présent acte, compte tenu :</w:t>
            </w:r>
          </w:p>
          <w:p w:rsidR="008C3814" w:rsidRPr="001B3033" w:rsidRDefault="008C3814" w:rsidP="00095D72">
            <w:pPr>
              <w:numPr>
                <w:ilvl w:val="0"/>
                <w:numId w:val="1"/>
              </w:numPr>
              <w:ind w:left="0" w:firstLine="0"/>
              <w:jc w:val="left"/>
              <w:rPr>
                <w:rFonts w:cs="Arial"/>
                <w:szCs w:val="22"/>
              </w:rPr>
            </w:pPr>
            <w:r w:rsidRPr="001B3033">
              <w:rPr>
                <w:rFonts w:cs="Arial"/>
                <w:szCs w:val="22"/>
              </w:rPr>
              <w:t xml:space="preserve">De son affichage </w:t>
            </w:r>
          </w:p>
          <w:p w:rsidR="008C3814" w:rsidRPr="001B3033" w:rsidRDefault="008C3814" w:rsidP="00095D72">
            <w:pPr>
              <w:numPr>
                <w:ilvl w:val="0"/>
                <w:numId w:val="1"/>
              </w:numPr>
              <w:ind w:left="0" w:firstLine="0"/>
              <w:jc w:val="left"/>
              <w:rPr>
                <w:rFonts w:cs="Arial"/>
                <w:szCs w:val="22"/>
              </w:rPr>
            </w:pPr>
            <w:r w:rsidRPr="001B3033">
              <w:rPr>
                <w:rFonts w:cs="Arial"/>
                <w:szCs w:val="22"/>
              </w:rPr>
              <w:t xml:space="preserve">De sa transmission en préfecture </w:t>
            </w:r>
          </w:p>
          <w:p w:rsidR="008C3814" w:rsidRPr="001B3033" w:rsidRDefault="008C3814" w:rsidP="00095D72">
            <w:pPr>
              <w:numPr>
                <w:ilvl w:val="0"/>
                <w:numId w:val="1"/>
              </w:numPr>
              <w:ind w:left="0" w:firstLine="0"/>
              <w:jc w:val="left"/>
              <w:rPr>
                <w:rFonts w:cs="Arial"/>
                <w:szCs w:val="22"/>
              </w:rPr>
            </w:pPr>
            <w:r w:rsidRPr="001B3033">
              <w:rPr>
                <w:rFonts w:cs="Arial"/>
                <w:szCs w:val="22"/>
              </w:rPr>
              <w:t>De sa notification à l’intéressé</w:t>
            </w:r>
          </w:p>
          <w:p w:rsidR="008C3814" w:rsidRPr="001B3033" w:rsidRDefault="008C3814" w:rsidP="00095D72">
            <w:pPr>
              <w:rPr>
                <w:szCs w:val="22"/>
              </w:rPr>
            </w:pPr>
          </w:p>
          <w:p w:rsidR="008C3814" w:rsidRPr="001B3033" w:rsidRDefault="008C3814" w:rsidP="000C7D80">
            <w:pPr>
              <w:ind w:left="72" w:right="1309"/>
              <w:jc w:val="left"/>
              <w:rPr>
                <w:szCs w:val="22"/>
              </w:rPr>
            </w:pPr>
          </w:p>
        </w:tc>
        <w:tc>
          <w:tcPr>
            <w:tcW w:w="5272" w:type="dxa"/>
          </w:tcPr>
          <w:p w:rsidR="004C5321" w:rsidRDefault="004C5321" w:rsidP="00095D72">
            <w:pPr>
              <w:ind w:left="72" w:right="7"/>
              <w:jc w:val="center"/>
              <w:rPr>
                <w:szCs w:val="22"/>
              </w:rPr>
            </w:pPr>
          </w:p>
          <w:p w:rsidR="008C3814" w:rsidRPr="001B3033" w:rsidRDefault="008C3814" w:rsidP="00095D72">
            <w:pPr>
              <w:ind w:left="72" w:right="7"/>
              <w:jc w:val="center"/>
              <w:rPr>
                <w:szCs w:val="22"/>
              </w:rPr>
            </w:pPr>
          </w:p>
          <w:p w:rsidR="008C3814" w:rsidRPr="001B3033" w:rsidRDefault="008C3814" w:rsidP="00095D72">
            <w:pPr>
              <w:rPr>
                <w:szCs w:val="22"/>
              </w:rPr>
            </w:pPr>
          </w:p>
        </w:tc>
      </w:tr>
    </w:tbl>
    <w:p w:rsidR="00E744AC" w:rsidRPr="00B22E73" w:rsidRDefault="00E744AC" w:rsidP="004870E2">
      <w:pPr>
        <w:rPr>
          <w:rFonts w:cs="Arial"/>
          <w:szCs w:val="22"/>
        </w:rPr>
      </w:pPr>
    </w:p>
    <w:sectPr w:rsidR="00E744AC" w:rsidRPr="00B22E73" w:rsidSect="00CF403E">
      <w:footerReference w:type="even" r:id="rId8"/>
      <w:footerReference w:type="default" r:id="rId9"/>
      <w:footerReference w:type="first" r:id="rId10"/>
      <w:pgSz w:w="11906" w:h="16838" w:code="9"/>
      <w:pgMar w:top="993" w:right="1418" w:bottom="1418" w:left="1418" w:header="720" w:footer="720" w:gutter="0"/>
      <w:paperSrc w:first="264" w:other="264"/>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4C3" w:rsidRDefault="00A824C3">
      <w:r>
        <w:separator/>
      </w:r>
    </w:p>
  </w:endnote>
  <w:endnote w:type="continuationSeparator" w:id="0">
    <w:p w:rsidR="00A824C3" w:rsidRDefault="00A8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D1" w:rsidRDefault="005860D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860D1" w:rsidRDefault="005860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D1" w:rsidRDefault="005860D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E68BB">
      <w:rPr>
        <w:rStyle w:val="Numrodepage"/>
        <w:noProof/>
      </w:rPr>
      <w:t>7</w:t>
    </w:r>
    <w:r>
      <w:rPr>
        <w:rStyle w:val="Numrodepage"/>
      </w:rPr>
      <w:fldChar w:fldCharType="end"/>
    </w:r>
  </w:p>
  <w:p w:rsidR="005860D1" w:rsidRDefault="005860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0D1" w:rsidRDefault="005860D1">
    <w:pPr>
      <w:pStyle w:val="Pieddepage"/>
      <w:jc w:val="center"/>
    </w:pPr>
    <w:r>
      <w:fldChar w:fldCharType="begin"/>
    </w:r>
    <w:r>
      <w:instrText xml:space="preserve"> PAGE   \* MERGEFORMAT </w:instrText>
    </w:r>
    <w:r>
      <w:fldChar w:fldCharType="separate"/>
    </w:r>
    <w:r w:rsidR="00BE68BB">
      <w:rPr>
        <w:noProof/>
      </w:rPr>
      <w:t>1</w:t>
    </w:r>
    <w:r>
      <w:fldChar w:fldCharType="end"/>
    </w:r>
  </w:p>
  <w:p w:rsidR="005860D1" w:rsidRDefault="005860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4C3" w:rsidRDefault="00A824C3">
      <w:r>
        <w:separator/>
      </w:r>
    </w:p>
  </w:footnote>
  <w:footnote w:type="continuationSeparator" w:id="0">
    <w:p w:rsidR="00A824C3" w:rsidRDefault="00A8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401"/>
    <w:multiLevelType w:val="hybridMultilevel"/>
    <w:tmpl w:val="B0D8F8BC"/>
    <w:lvl w:ilvl="0" w:tplc="40CC234E">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B97125"/>
    <w:multiLevelType w:val="singleLevel"/>
    <w:tmpl w:val="E46EE322"/>
    <w:lvl w:ilvl="0">
      <w:numFmt w:val="bullet"/>
      <w:lvlText w:val="-"/>
      <w:lvlJc w:val="left"/>
      <w:pPr>
        <w:tabs>
          <w:tab w:val="num" w:pos="360"/>
        </w:tabs>
        <w:ind w:left="360" w:hanging="360"/>
      </w:pPr>
      <w:rPr>
        <w:rFonts w:hint="default"/>
      </w:rPr>
    </w:lvl>
  </w:abstractNum>
  <w:abstractNum w:abstractNumId="2" w15:restartNumberingAfterBreak="0">
    <w:nsid w:val="232C7732"/>
    <w:multiLevelType w:val="hybridMultilevel"/>
    <w:tmpl w:val="6D4A19E6"/>
    <w:lvl w:ilvl="0" w:tplc="089CB04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C97D49"/>
    <w:multiLevelType w:val="hybridMultilevel"/>
    <w:tmpl w:val="5A862FFC"/>
    <w:lvl w:ilvl="0" w:tplc="2946E98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E06398"/>
    <w:multiLevelType w:val="hybridMultilevel"/>
    <w:tmpl w:val="1EC60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CB2CB8"/>
    <w:multiLevelType w:val="hybridMultilevel"/>
    <w:tmpl w:val="F87C56E6"/>
    <w:lvl w:ilvl="0" w:tplc="E9DC57AC">
      <w:start w:val="1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C3"/>
    <w:rsid w:val="00000736"/>
    <w:rsid w:val="00000C12"/>
    <w:rsid w:val="00006835"/>
    <w:rsid w:val="00013AFA"/>
    <w:rsid w:val="000164A9"/>
    <w:rsid w:val="00020D1D"/>
    <w:rsid w:val="00026FEE"/>
    <w:rsid w:val="00031D23"/>
    <w:rsid w:val="00034C43"/>
    <w:rsid w:val="00034D68"/>
    <w:rsid w:val="00042721"/>
    <w:rsid w:val="00053989"/>
    <w:rsid w:val="00062666"/>
    <w:rsid w:val="000678AA"/>
    <w:rsid w:val="00070EEA"/>
    <w:rsid w:val="0007689A"/>
    <w:rsid w:val="00095911"/>
    <w:rsid w:val="00095D72"/>
    <w:rsid w:val="000977E9"/>
    <w:rsid w:val="000A167D"/>
    <w:rsid w:val="000A5F33"/>
    <w:rsid w:val="000B0801"/>
    <w:rsid w:val="000C2BF3"/>
    <w:rsid w:val="000C4333"/>
    <w:rsid w:val="000C7D80"/>
    <w:rsid w:val="000E1567"/>
    <w:rsid w:val="000E1987"/>
    <w:rsid w:val="000E284C"/>
    <w:rsid w:val="000F2996"/>
    <w:rsid w:val="00110C69"/>
    <w:rsid w:val="00112840"/>
    <w:rsid w:val="001237CB"/>
    <w:rsid w:val="001243CD"/>
    <w:rsid w:val="00125AED"/>
    <w:rsid w:val="00126435"/>
    <w:rsid w:val="00127AE6"/>
    <w:rsid w:val="0013406A"/>
    <w:rsid w:val="00151508"/>
    <w:rsid w:val="00155E94"/>
    <w:rsid w:val="00170C8C"/>
    <w:rsid w:val="001774B2"/>
    <w:rsid w:val="00186BFF"/>
    <w:rsid w:val="00187C0B"/>
    <w:rsid w:val="00190E7C"/>
    <w:rsid w:val="00192162"/>
    <w:rsid w:val="00192FBB"/>
    <w:rsid w:val="001953C2"/>
    <w:rsid w:val="001A725D"/>
    <w:rsid w:val="001B2248"/>
    <w:rsid w:val="001B3033"/>
    <w:rsid w:val="001C0AC3"/>
    <w:rsid w:val="001C55BB"/>
    <w:rsid w:val="001D6938"/>
    <w:rsid w:val="001D6CC0"/>
    <w:rsid w:val="001E638E"/>
    <w:rsid w:val="001F55C0"/>
    <w:rsid w:val="001F7E25"/>
    <w:rsid w:val="00204E82"/>
    <w:rsid w:val="00205530"/>
    <w:rsid w:val="002256BE"/>
    <w:rsid w:val="00226290"/>
    <w:rsid w:val="002265EB"/>
    <w:rsid w:val="00230623"/>
    <w:rsid w:val="0023154C"/>
    <w:rsid w:val="002342C6"/>
    <w:rsid w:val="002420BC"/>
    <w:rsid w:val="00246CAE"/>
    <w:rsid w:val="00253A17"/>
    <w:rsid w:val="00260981"/>
    <w:rsid w:val="00270346"/>
    <w:rsid w:val="0027108C"/>
    <w:rsid w:val="0027156E"/>
    <w:rsid w:val="002811D9"/>
    <w:rsid w:val="002820B7"/>
    <w:rsid w:val="00287ABD"/>
    <w:rsid w:val="00290F19"/>
    <w:rsid w:val="002A7DD9"/>
    <w:rsid w:val="002B19B8"/>
    <w:rsid w:val="002C7A67"/>
    <w:rsid w:val="002D16F6"/>
    <w:rsid w:val="002E7E30"/>
    <w:rsid w:val="002F0673"/>
    <w:rsid w:val="002F2E56"/>
    <w:rsid w:val="002F6175"/>
    <w:rsid w:val="00310CEA"/>
    <w:rsid w:val="00314A77"/>
    <w:rsid w:val="003525A7"/>
    <w:rsid w:val="00353A43"/>
    <w:rsid w:val="0036171F"/>
    <w:rsid w:val="003635EC"/>
    <w:rsid w:val="00363EBC"/>
    <w:rsid w:val="003655CE"/>
    <w:rsid w:val="00371A23"/>
    <w:rsid w:val="003753C0"/>
    <w:rsid w:val="0038087C"/>
    <w:rsid w:val="00383B24"/>
    <w:rsid w:val="00384C37"/>
    <w:rsid w:val="00390834"/>
    <w:rsid w:val="0039110C"/>
    <w:rsid w:val="00396906"/>
    <w:rsid w:val="003B6B2B"/>
    <w:rsid w:val="003D3674"/>
    <w:rsid w:val="003F6C9C"/>
    <w:rsid w:val="003F7BDA"/>
    <w:rsid w:val="004145E6"/>
    <w:rsid w:val="004201D4"/>
    <w:rsid w:val="00421AD1"/>
    <w:rsid w:val="0042742A"/>
    <w:rsid w:val="00430765"/>
    <w:rsid w:val="00431643"/>
    <w:rsid w:val="00435CAB"/>
    <w:rsid w:val="00440519"/>
    <w:rsid w:val="004419E2"/>
    <w:rsid w:val="004473FA"/>
    <w:rsid w:val="00450226"/>
    <w:rsid w:val="00452FCE"/>
    <w:rsid w:val="00453DB3"/>
    <w:rsid w:val="00454822"/>
    <w:rsid w:val="00456C7F"/>
    <w:rsid w:val="00463AC5"/>
    <w:rsid w:val="004667AA"/>
    <w:rsid w:val="00472983"/>
    <w:rsid w:val="00485A7B"/>
    <w:rsid w:val="004870E2"/>
    <w:rsid w:val="00494009"/>
    <w:rsid w:val="004A084E"/>
    <w:rsid w:val="004A5B09"/>
    <w:rsid w:val="004B12D9"/>
    <w:rsid w:val="004C0A1C"/>
    <w:rsid w:val="004C3AE1"/>
    <w:rsid w:val="004C45B8"/>
    <w:rsid w:val="004C5321"/>
    <w:rsid w:val="0050104D"/>
    <w:rsid w:val="005025E0"/>
    <w:rsid w:val="0050440B"/>
    <w:rsid w:val="005068DF"/>
    <w:rsid w:val="005136A9"/>
    <w:rsid w:val="0051776B"/>
    <w:rsid w:val="00526F36"/>
    <w:rsid w:val="005272C2"/>
    <w:rsid w:val="00530223"/>
    <w:rsid w:val="00544711"/>
    <w:rsid w:val="00550C7D"/>
    <w:rsid w:val="0055417B"/>
    <w:rsid w:val="00554286"/>
    <w:rsid w:val="00554BB4"/>
    <w:rsid w:val="00561706"/>
    <w:rsid w:val="005655AA"/>
    <w:rsid w:val="00571CD6"/>
    <w:rsid w:val="00577402"/>
    <w:rsid w:val="00581DA7"/>
    <w:rsid w:val="00582966"/>
    <w:rsid w:val="00582A4A"/>
    <w:rsid w:val="00582B54"/>
    <w:rsid w:val="005838C7"/>
    <w:rsid w:val="005860D1"/>
    <w:rsid w:val="00586E0D"/>
    <w:rsid w:val="00587519"/>
    <w:rsid w:val="005B5FA4"/>
    <w:rsid w:val="005C1A0F"/>
    <w:rsid w:val="005C368B"/>
    <w:rsid w:val="005D0B4D"/>
    <w:rsid w:val="005D2A8A"/>
    <w:rsid w:val="005D6637"/>
    <w:rsid w:val="005E732E"/>
    <w:rsid w:val="005F1D84"/>
    <w:rsid w:val="005F41E9"/>
    <w:rsid w:val="005F72A0"/>
    <w:rsid w:val="00602504"/>
    <w:rsid w:val="00611A8B"/>
    <w:rsid w:val="00611DB1"/>
    <w:rsid w:val="00612E9F"/>
    <w:rsid w:val="0061403C"/>
    <w:rsid w:val="00614CBB"/>
    <w:rsid w:val="00626F12"/>
    <w:rsid w:val="006301F5"/>
    <w:rsid w:val="006379CA"/>
    <w:rsid w:val="00644AFC"/>
    <w:rsid w:val="00656167"/>
    <w:rsid w:val="006568CC"/>
    <w:rsid w:val="00660CD8"/>
    <w:rsid w:val="006610DB"/>
    <w:rsid w:val="00664EC8"/>
    <w:rsid w:val="00667657"/>
    <w:rsid w:val="00670AA2"/>
    <w:rsid w:val="006837FD"/>
    <w:rsid w:val="006847FD"/>
    <w:rsid w:val="006869E8"/>
    <w:rsid w:val="0068708C"/>
    <w:rsid w:val="006A7B22"/>
    <w:rsid w:val="006B1B31"/>
    <w:rsid w:val="006B3785"/>
    <w:rsid w:val="006B6FCE"/>
    <w:rsid w:val="006B7636"/>
    <w:rsid w:val="006C1488"/>
    <w:rsid w:val="006D3B85"/>
    <w:rsid w:val="006D5BC9"/>
    <w:rsid w:val="006D7785"/>
    <w:rsid w:val="006D7D3C"/>
    <w:rsid w:val="006E4570"/>
    <w:rsid w:val="006F2E84"/>
    <w:rsid w:val="006F3332"/>
    <w:rsid w:val="007024A9"/>
    <w:rsid w:val="00706210"/>
    <w:rsid w:val="007110AA"/>
    <w:rsid w:val="0071491E"/>
    <w:rsid w:val="007155DA"/>
    <w:rsid w:val="00722F2C"/>
    <w:rsid w:val="00733284"/>
    <w:rsid w:val="007412F2"/>
    <w:rsid w:val="0074330B"/>
    <w:rsid w:val="00745D7E"/>
    <w:rsid w:val="00773CD4"/>
    <w:rsid w:val="00774804"/>
    <w:rsid w:val="00797D6A"/>
    <w:rsid w:val="00797F03"/>
    <w:rsid w:val="007B2486"/>
    <w:rsid w:val="007C1559"/>
    <w:rsid w:val="007D5EBB"/>
    <w:rsid w:val="007F2C5E"/>
    <w:rsid w:val="007F3DE3"/>
    <w:rsid w:val="007F54DD"/>
    <w:rsid w:val="007F7707"/>
    <w:rsid w:val="008063E2"/>
    <w:rsid w:val="00810D4C"/>
    <w:rsid w:val="00815D24"/>
    <w:rsid w:val="008260FF"/>
    <w:rsid w:val="00837AC6"/>
    <w:rsid w:val="00842B0D"/>
    <w:rsid w:val="008437D9"/>
    <w:rsid w:val="0086262E"/>
    <w:rsid w:val="0087157F"/>
    <w:rsid w:val="00872EFC"/>
    <w:rsid w:val="008766B6"/>
    <w:rsid w:val="008774E4"/>
    <w:rsid w:val="00890D94"/>
    <w:rsid w:val="0089174B"/>
    <w:rsid w:val="00895A28"/>
    <w:rsid w:val="008A1196"/>
    <w:rsid w:val="008A2701"/>
    <w:rsid w:val="008A5A51"/>
    <w:rsid w:val="008C3814"/>
    <w:rsid w:val="008D4E96"/>
    <w:rsid w:val="008E1550"/>
    <w:rsid w:val="008E424B"/>
    <w:rsid w:val="008E4830"/>
    <w:rsid w:val="008F5C0E"/>
    <w:rsid w:val="008F6CA0"/>
    <w:rsid w:val="00902323"/>
    <w:rsid w:val="009122A9"/>
    <w:rsid w:val="00913289"/>
    <w:rsid w:val="00913CB5"/>
    <w:rsid w:val="00916073"/>
    <w:rsid w:val="00922C6C"/>
    <w:rsid w:val="009327C2"/>
    <w:rsid w:val="00932B2C"/>
    <w:rsid w:val="00933635"/>
    <w:rsid w:val="009361F6"/>
    <w:rsid w:val="009408AD"/>
    <w:rsid w:val="00947C65"/>
    <w:rsid w:val="0095158A"/>
    <w:rsid w:val="00957330"/>
    <w:rsid w:val="00963822"/>
    <w:rsid w:val="009816BD"/>
    <w:rsid w:val="00981988"/>
    <w:rsid w:val="009A1E8C"/>
    <w:rsid w:val="009B1999"/>
    <w:rsid w:val="009B461D"/>
    <w:rsid w:val="009C39BD"/>
    <w:rsid w:val="009F0D72"/>
    <w:rsid w:val="009F1BB8"/>
    <w:rsid w:val="00A06FA2"/>
    <w:rsid w:val="00A07BC8"/>
    <w:rsid w:val="00A1083B"/>
    <w:rsid w:val="00A15DFB"/>
    <w:rsid w:val="00A22004"/>
    <w:rsid w:val="00A26D4A"/>
    <w:rsid w:val="00A27811"/>
    <w:rsid w:val="00A31584"/>
    <w:rsid w:val="00A6250E"/>
    <w:rsid w:val="00A62C0C"/>
    <w:rsid w:val="00A6778D"/>
    <w:rsid w:val="00A74EE1"/>
    <w:rsid w:val="00A824C3"/>
    <w:rsid w:val="00A90E2C"/>
    <w:rsid w:val="00A9117E"/>
    <w:rsid w:val="00A972C7"/>
    <w:rsid w:val="00AA4AF2"/>
    <w:rsid w:val="00AA54C1"/>
    <w:rsid w:val="00AA66CD"/>
    <w:rsid w:val="00AB47FF"/>
    <w:rsid w:val="00AB4818"/>
    <w:rsid w:val="00AB7581"/>
    <w:rsid w:val="00AF00AA"/>
    <w:rsid w:val="00AF091C"/>
    <w:rsid w:val="00AF3218"/>
    <w:rsid w:val="00AF7B07"/>
    <w:rsid w:val="00B02C4C"/>
    <w:rsid w:val="00B16C87"/>
    <w:rsid w:val="00B22E73"/>
    <w:rsid w:val="00B2438D"/>
    <w:rsid w:val="00B27F6A"/>
    <w:rsid w:val="00B51217"/>
    <w:rsid w:val="00B679C7"/>
    <w:rsid w:val="00B813CA"/>
    <w:rsid w:val="00B81BEC"/>
    <w:rsid w:val="00B84190"/>
    <w:rsid w:val="00B92AC7"/>
    <w:rsid w:val="00B92B9A"/>
    <w:rsid w:val="00BA40E8"/>
    <w:rsid w:val="00BB3BA4"/>
    <w:rsid w:val="00BB43E1"/>
    <w:rsid w:val="00BB7073"/>
    <w:rsid w:val="00BC5F88"/>
    <w:rsid w:val="00BD5CA9"/>
    <w:rsid w:val="00BD7026"/>
    <w:rsid w:val="00BE1983"/>
    <w:rsid w:val="00BE68BB"/>
    <w:rsid w:val="00BE699B"/>
    <w:rsid w:val="00C05EAD"/>
    <w:rsid w:val="00C22D59"/>
    <w:rsid w:val="00C27F20"/>
    <w:rsid w:val="00C40D06"/>
    <w:rsid w:val="00C4537C"/>
    <w:rsid w:val="00C74997"/>
    <w:rsid w:val="00C8123F"/>
    <w:rsid w:val="00C81C51"/>
    <w:rsid w:val="00C9682F"/>
    <w:rsid w:val="00C97FCC"/>
    <w:rsid w:val="00CA20EC"/>
    <w:rsid w:val="00CB7175"/>
    <w:rsid w:val="00CC0EB1"/>
    <w:rsid w:val="00CC1990"/>
    <w:rsid w:val="00CD33C9"/>
    <w:rsid w:val="00CD3592"/>
    <w:rsid w:val="00CE4C94"/>
    <w:rsid w:val="00CE65A2"/>
    <w:rsid w:val="00CF403E"/>
    <w:rsid w:val="00CF59B5"/>
    <w:rsid w:val="00D017DF"/>
    <w:rsid w:val="00D10EFB"/>
    <w:rsid w:val="00D36F38"/>
    <w:rsid w:val="00D44F9F"/>
    <w:rsid w:val="00D4553D"/>
    <w:rsid w:val="00D539F5"/>
    <w:rsid w:val="00D54DCB"/>
    <w:rsid w:val="00D653CE"/>
    <w:rsid w:val="00D67875"/>
    <w:rsid w:val="00D753FA"/>
    <w:rsid w:val="00D77DA6"/>
    <w:rsid w:val="00D81835"/>
    <w:rsid w:val="00D86D34"/>
    <w:rsid w:val="00D919A2"/>
    <w:rsid w:val="00D94D4F"/>
    <w:rsid w:val="00DB0490"/>
    <w:rsid w:val="00DC74CB"/>
    <w:rsid w:val="00DD032E"/>
    <w:rsid w:val="00DD4F44"/>
    <w:rsid w:val="00DE0A99"/>
    <w:rsid w:val="00DE45C3"/>
    <w:rsid w:val="00DF1279"/>
    <w:rsid w:val="00DF3953"/>
    <w:rsid w:val="00E07BCB"/>
    <w:rsid w:val="00E12EDE"/>
    <w:rsid w:val="00E42182"/>
    <w:rsid w:val="00E42619"/>
    <w:rsid w:val="00E529BF"/>
    <w:rsid w:val="00E574BD"/>
    <w:rsid w:val="00E6271B"/>
    <w:rsid w:val="00E744AC"/>
    <w:rsid w:val="00E86025"/>
    <w:rsid w:val="00E87C1E"/>
    <w:rsid w:val="00EA1C98"/>
    <w:rsid w:val="00EA2336"/>
    <w:rsid w:val="00EA57B4"/>
    <w:rsid w:val="00EA57FB"/>
    <w:rsid w:val="00EB1D29"/>
    <w:rsid w:val="00ED094E"/>
    <w:rsid w:val="00ED2BD1"/>
    <w:rsid w:val="00ED2F33"/>
    <w:rsid w:val="00ED4650"/>
    <w:rsid w:val="00ED645F"/>
    <w:rsid w:val="00EE010C"/>
    <w:rsid w:val="00EE13F4"/>
    <w:rsid w:val="00EE3C7F"/>
    <w:rsid w:val="00F00DBE"/>
    <w:rsid w:val="00F14439"/>
    <w:rsid w:val="00F24593"/>
    <w:rsid w:val="00F250C3"/>
    <w:rsid w:val="00F34356"/>
    <w:rsid w:val="00F44EED"/>
    <w:rsid w:val="00F5067C"/>
    <w:rsid w:val="00F540D1"/>
    <w:rsid w:val="00F575B1"/>
    <w:rsid w:val="00F63749"/>
    <w:rsid w:val="00F71889"/>
    <w:rsid w:val="00F83E3A"/>
    <w:rsid w:val="00F843E6"/>
    <w:rsid w:val="00F87BBE"/>
    <w:rsid w:val="00FA0889"/>
    <w:rsid w:val="00FB1558"/>
    <w:rsid w:val="00FB3AB1"/>
    <w:rsid w:val="00FC1150"/>
    <w:rsid w:val="00FC5CF6"/>
    <w:rsid w:val="00FD2F55"/>
    <w:rsid w:val="00FD3FCB"/>
    <w:rsid w:val="00FD632B"/>
    <w:rsid w:val="00FE0C0F"/>
    <w:rsid w:val="00FF2263"/>
    <w:rsid w:val="00FF3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EF692"/>
  <w15:chartTrackingRefBased/>
  <w15:docId w15:val="{B7BBE17B-B23E-4082-8442-BC173065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7DD9"/>
    <w:pPr>
      <w:jc w:val="both"/>
    </w:pPr>
    <w:rPr>
      <w:rFonts w:ascii="Arial" w:hAnsi="Arial"/>
      <w:sz w:val="22"/>
    </w:rPr>
  </w:style>
  <w:style w:type="paragraph" w:styleId="Titre1">
    <w:name w:val="heading 1"/>
    <w:basedOn w:val="Normal"/>
    <w:next w:val="Normal"/>
    <w:qFormat/>
    <w:rsid w:val="00582A4A"/>
    <w:pPr>
      <w:outlineLvl w:val="0"/>
    </w:pPr>
    <w:rPr>
      <w:rFonts w:cs="Arial"/>
      <w:b/>
      <w:szCs w:val="22"/>
    </w:rPr>
  </w:style>
  <w:style w:type="paragraph" w:styleId="Titre2">
    <w:name w:val="heading 2"/>
    <w:basedOn w:val="Normal"/>
    <w:next w:val="Normal"/>
    <w:qFormat/>
    <w:rsid w:val="00582A4A"/>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94009"/>
    <w:pPr>
      <w:tabs>
        <w:tab w:val="center" w:pos="4536"/>
        <w:tab w:val="right" w:pos="9072"/>
      </w:tabs>
    </w:pPr>
  </w:style>
  <w:style w:type="character" w:styleId="Numrodepage">
    <w:name w:val="page number"/>
    <w:basedOn w:val="Policepardfaut"/>
    <w:rsid w:val="00494009"/>
  </w:style>
  <w:style w:type="paragraph" w:styleId="En-tte">
    <w:name w:val="header"/>
    <w:basedOn w:val="Normal"/>
    <w:rsid w:val="001F55C0"/>
    <w:pPr>
      <w:tabs>
        <w:tab w:val="center" w:pos="4536"/>
        <w:tab w:val="right" w:pos="9072"/>
      </w:tabs>
    </w:pPr>
    <w:rPr>
      <w:rFonts w:ascii="New York" w:hAnsi="New York"/>
      <w:sz w:val="24"/>
      <w:szCs w:val="24"/>
    </w:rPr>
  </w:style>
  <w:style w:type="paragraph" w:styleId="Textedebulles">
    <w:name w:val="Balloon Text"/>
    <w:basedOn w:val="Normal"/>
    <w:semiHidden/>
    <w:rsid w:val="00EA1C98"/>
    <w:rPr>
      <w:rFonts w:ascii="Tahoma" w:hAnsi="Tahoma" w:cs="Tahoma"/>
      <w:sz w:val="16"/>
      <w:szCs w:val="16"/>
    </w:rPr>
  </w:style>
  <w:style w:type="paragraph" w:customStyle="1" w:styleId="CarCar1">
    <w:name w:val="Car Car1"/>
    <w:basedOn w:val="Normal"/>
    <w:semiHidden/>
    <w:rsid w:val="000678AA"/>
    <w:pPr>
      <w:spacing w:after="160" w:line="240" w:lineRule="exact"/>
    </w:pPr>
    <w:rPr>
      <w:rFonts w:cs="Arial"/>
      <w:szCs w:val="22"/>
      <w:lang w:val="en-US" w:eastAsia="en-US"/>
    </w:rPr>
  </w:style>
  <w:style w:type="paragraph" w:customStyle="1" w:styleId="Titrededoc">
    <w:name w:val="Titre de doc"/>
    <w:basedOn w:val="Normal"/>
    <w:next w:val="Normal"/>
    <w:rsid w:val="002A7DD9"/>
    <w:pPr>
      <w:spacing w:before="240"/>
      <w:jc w:val="center"/>
    </w:pPr>
    <w:rPr>
      <w:rFonts w:cs="Arial"/>
      <w:b/>
      <w:szCs w:val="22"/>
    </w:rPr>
  </w:style>
  <w:style w:type="character" w:customStyle="1" w:styleId="PieddepageCar">
    <w:name w:val="Pied de page Car"/>
    <w:basedOn w:val="Policepardfaut"/>
    <w:link w:val="Pieddepage"/>
    <w:uiPriority w:val="99"/>
    <w:rsid w:val="008774E4"/>
  </w:style>
  <w:style w:type="paragraph" w:styleId="Retraitcorpsdetexte">
    <w:name w:val="Body Text Indent"/>
    <w:basedOn w:val="Normal"/>
    <w:link w:val="RetraitcorpsdetexteCar"/>
    <w:rsid w:val="00A6250E"/>
    <w:pPr>
      <w:ind w:left="142"/>
    </w:pPr>
    <w:rPr>
      <w:sz w:val="24"/>
      <w:szCs w:val="24"/>
      <w:lang w:val="x-none" w:eastAsia="x-none"/>
    </w:rPr>
  </w:style>
  <w:style w:type="character" w:customStyle="1" w:styleId="RetraitcorpsdetexteCar">
    <w:name w:val="Retrait corps de texte Car"/>
    <w:link w:val="Retraitcorpsdetexte"/>
    <w:rsid w:val="00A6250E"/>
    <w:rPr>
      <w:rFonts w:ascii="Arial" w:hAnsi="Arial"/>
      <w:sz w:val="24"/>
      <w:szCs w:val="24"/>
    </w:rPr>
  </w:style>
  <w:style w:type="paragraph" w:customStyle="1" w:styleId="Corps">
    <w:name w:val="Corps"/>
    <w:basedOn w:val="Normal"/>
    <w:qFormat/>
    <w:rsid w:val="008F5C0E"/>
  </w:style>
  <w:style w:type="paragraph" w:customStyle="1" w:styleId="Objet">
    <w:name w:val="Objet"/>
    <w:basedOn w:val="Normal"/>
    <w:qFormat/>
    <w:rsid w:val="008F5C0E"/>
    <w:rPr>
      <w:rFonts w:cs="Arial"/>
      <w:szCs w:val="22"/>
    </w:rPr>
  </w:style>
  <w:style w:type="paragraph" w:customStyle="1" w:styleId="Articles">
    <w:name w:val="Articles"/>
    <w:basedOn w:val="Normal"/>
    <w:qFormat/>
    <w:rsid w:val="008F5C0E"/>
  </w:style>
  <w:style w:type="table" w:styleId="Grilledutableau">
    <w:name w:val="Table Grid"/>
    <w:basedOn w:val="TableauNormal"/>
    <w:uiPriority w:val="59"/>
    <w:rsid w:val="0081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4C5321"/>
    <w:pPr>
      <w:spacing w:after="120"/>
    </w:pPr>
  </w:style>
  <w:style w:type="character" w:customStyle="1" w:styleId="CorpsdetexteCar">
    <w:name w:val="Corps de texte Car"/>
    <w:basedOn w:val="Policepardfaut"/>
    <w:link w:val="Corpsdetexte"/>
    <w:uiPriority w:val="99"/>
    <w:semiHidden/>
    <w:rsid w:val="004C5321"/>
    <w:rPr>
      <w:rFonts w:ascii="Arial" w:hAnsi="Arial"/>
      <w:sz w:val="22"/>
    </w:rPr>
  </w:style>
  <w:style w:type="paragraph" w:styleId="Paragraphedeliste">
    <w:name w:val="List Paragraph"/>
    <w:basedOn w:val="Normal"/>
    <w:uiPriority w:val="34"/>
    <w:qFormat/>
    <w:rsid w:val="000F2996"/>
    <w:pPr>
      <w:ind w:left="720"/>
      <w:contextualSpacing/>
    </w:pPr>
  </w:style>
  <w:style w:type="paragraph" w:styleId="Sansinterligne">
    <w:name w:val="No Spacing"/>
    <w:uiPriority w:val="1"/>
    <w:qFormat/>
    <w:rsid w:val="000977E9"/>
    <w:pPr>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odeles\Rapports%20comit&#233;%20et%20bureau\rapport%20%20delib%20comite%20SIPPERE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rapport  delib comite SIPPEREC.dot</Template>
  <TotalTime>5</TotalTime>
  <Pages>7</Pages>
  <Words>2543</Words>
  <Characters>13989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PROJET</vt:lpstr>
    </vt:vector>
  </TitlesOfParts>
  <Company>Sipperec</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subject/>
  <dc:creator>SDT</dc:creator>
  <cp:keywords/>
  <cp:lastModifiedBy>Sandra Le Bihan</cp:lastModifiedBy>
  <cp:revision>4</cp:revision>
  <cp:lastPrinted>2017-11-29T13:53:00Z</cp:lastPrinted>
  <dcterms:created xsi:type="dcterms:W3CDTF">2017-11-29T13:50:00Z</dcterms:created>
  <dcterms:modified xsi:type="dcterms:W3CDTF">2017-11-29T13:54:00Z</dcterms:modified>
</cp:coreProperties>
</file>